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EE" w:rsidRDefault="00CA763E" w:rsidP="003E34B3">
      <w:pPr>
        <w:jc w:val="both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-11430</wp:posOffset>
            </wp:positionV>
            <wp:extent cx="1268730" cy="1182370"/>
            <wp:effectExtent l="19050" t="0" r="7620" b="0"/>
            <wp:wrapSquare wrapText="right"/>
            <wp:docPr id="26" name="Immagine 1" descr="http://www.lucasani.it/wp-content/uploads/2008/08/confturism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lucasani.it/wp-content/uploads/2008/08/confturismo-1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-11430</wp:posOffset>
            </wp:positionV>
            <wp:extent cx="2400300" cy="1065530"/>
            <wp:effectExtent l="19050" t="0" r="0" b="0"/>
            <wp:wrapTopAndBottom/>
            <wp:docPr id="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</w:p>
    <w:p w:rsidR="00181B14" w:rsidRDefault="00181B14" w:rsidP="003E34B3">
      <w:pPr>
        <w:jc w:val="both"/>
        <w:rPr>
          <w:rFonts w:ascii="Verdana" w:hAnsi="Verdana"/>
          <w:sz w:val="20"/>
        </w:rPr>
      </w:pPr>
    </w:p>
    <w:p w:rsidR="0001739D" w:rsidRDefault="0001739D" w:rsidP="003E34B3">
      <w:pPr>
        <w:jc w:val="both"/>
        <w:rPr>
          <w:rFonts w:ascii="Verdana" w:hAnsi="Verdana"/>
          <w:sz w:val="20"/>
        </w:rPr>
      </w:pPr>
    </w:p>
    <w:p w:rsidR="002F589D" w:rsidRPr="001D79DE" w:rsidRDefault="002F589D" w:rsidP="003E34B3">
      <w:pPr>
        <w:jc w:val="both"/>
        <w:rPr>
          <w:rFonts w:ascii="Verdana" w:hAnsi="Verdana"/>
          <w:sz w:val="20"/>
        </w:rPr>
      </w:pPr>
    </w:p>
    <w:p w:rsidR="002E6349" w:rsidRPr="001D79DE" w:rsidRDefault="005B10E9">
      <w:pPr>
        <w:jc w:val="both"/>
        <w:rPr>
          <w:rFonts w:ascii="Verdana" w:hAnsi="Verdana"/>
          <w:sz w:val="20"/>
        </w:rPr>
      </w:pPr>
      <w:r w:rsidRPr="001D79D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23302">
        <w:rPr>
          <w:rFonts w:ascii="Verdana" w:hAnsi="Verdana"/>
          <w:sz w:val="20"/>
        </w:rPr>
        <w:t>Roma,</w:t>
      </w:r>
      <w:r w:rsidR="002F0D6B">
        <w:rPr>
          <w:rFonts w:ascii="Verdana" w:hAnsi="Verdana"/>
          <w:sz w:val="20"/>
        </w:rPr>
        <w:t xml:space="preserve"> </w:t>
      </w:r>
      <w:r w:rsidR="00523302">
        <w:rPr>
          <w:rFonts w:ascii="Verdana" w:hAnsi="Verdana"/>
          <w:sz w:val="20"/>
        </w:rPr>
        <w:t>6</w:t>
      </w:r>
      <w:r w:rsidR="00ED6074">
        <w:rPr>
          <w:rFonts w:ascii="Verdana" w:hAnsi="Verdana"/>
          <w:sz w:val="20"/>
        </w:rPr>
        <w:t xml:space="preserve"> novembre</w:t>
      </w:r>
      <w:r w:rsidR="00C34AED">
        <w:rPr>
          <w:rFonts w:ascii="Verdana" w:hAnsi="Verdana"/>
          <w:sz w:val="20"/>
        </w:rPr>
        <w:t xml:space="preserve"> 2015</w:t>
      </w:r>
    </w:p>
    <w:p w:rsidR="00AB15F1" w:rsidRDefault="00057EA4" w:rsidP="00057EA4">
      <w:pPr>
        <w:tabs>
          <w:tab w:val="left" w:pos="7267"/>
        </w:tabs>
        <w:rPr>
          <w:rFonts w:ascii="Verdana" w:hAnsi="Verdana"/>
          <w:b/>
          <w:szCs w:val="28"/>
        </w:rPr>
      </w:pPr>
      <w:r>
        <w:rPr>
          <w:rFonts w:ascii="Verdana" w:hAnsi="Verdana"/>
          <w:b/>
          <w:szCs w:val="28"/>
        </w:rPr>
        <w:tab/>
      </w:r>
    </w:p>
    <w:p w:rsidR="0001739D" w:rsidRPr="00B524E7" w:rsidRDefault="0001739D" w:rsidP="00AE5666">
      <w:pPr>
        <w:jc w:val="center"/>
        <w:rPr>
          <w:rFonts w:ascii="Verdana" w:hAnsi="Verdana"/>
          <w:sz w:val="22"/>
          <w:szCs w:val="22"/>
          <w:u w:val="single"/>
        </w:rPr>
      </w:pPr>
    </w:p>
    <w:p w:rsidR="00830ABE" w:rsidRPr="005D5919" w:rsidRDefault="00830ABE" w:rsidP="00BC46BA">
      <w:pPr>
        <w:ind w:right="281"/>
        <w:jc w:val="both"/>
        <w:rPr>
          <w:rFonts w:ascii="Verdana" w:hAnsi="Verdana" w:cs="Tahoma"/>
          <w:b/>
          <w:sz w:val="18"/>
          <w:szCs w:val="18"/>
        </w:rPr>
      </w:pPr>
      <w:bookmarkStart w:id="0" w:name="_GoBack"/>
      <w:bookmarkEnd w:id="0"/>
    </w:p>
    <w:p w:rsidR="005C5CC8" w:rsidRPr="005D5919" w:rsidRDefault="005C5CC8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5C5CC8" w:rsidRPr="005D5919" w:rsidRDefault="005C5CC8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B524E7" w:rsidRDefault="00B524E7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B524E7" w:rsidRDefault="00B524E7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647F12" w:rsidRPr="005D5919" w:rsidRDefault="00484AA2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  <w:r w:rsidRPr="005D5919">
        <w:rPr>
          <w:rFonts w:ascii="Verdana" w:hAnsi="Verdana" w:cs="Tahoma"/>
          <w:b/>
          <w:sz w:val="18"/>
          <w:szCs w:val="18"/>
        </w:rPr>
        <w:t>LA RILEVAZIONE IN DETTAGLIO</w:t>
      </w:r>
    </w:p>
    <w:p w:rsidR="00855007" w:rsidRPr="005D5919" w:rsidRDefault="0085500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05271C" w:rsidRPr="005D5919" w:rsidRDefault="00484AA2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L’indice di fiducia del viaggiatore italiano, elaborato da Confturismo-Confcommercio in collaborazione con l’Istituto Piepoli, mostra </w:t>
      </w:r>
      <w:r w:rsidR="00CC19C9" w:rsidRPr="005D5919">
        <w:rPr>
          <w:rFonts w:ascii="Verdana" w:eastAsia="Calibri" w:hAnsi="Verdana" w:cs="Arial"/>
          <w:sz w:val="18"/>
          <w:szCs w:val="18"/>
          <w:lang w:eastAsia="en-US"/>
        </w:rPr>
        <w:t>un</w:t>
      </w:r>
      <w:r w:rsidR="008138D5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a </w:t>
      </w:r>
      <w:r w:rsidR="00602BEB" w:rsidRPr="005D5919">
        <w:rPr>
          <w:rFonts w:ascii="Verdana" w:eastAsia="Calibri" w:hAnsi="Verdana" w:cs="Arial"/>
          <w:sz w:val="18"/>
          <w:szCs w:val="18"/>
          <w:lang w:eastAsia="en-US"/>
        </w:rPr>
        <w:t>diminuzione</w:t>
      </w:r>
      <w:r w:rsidR="00780FF6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CC19C9" w:rsidRPr="005D5919">
        <w:rPr>
          <w:rFonts w:ascii="Verdana" w:eastAsia="Calibri" w:hAnsi="Verdana" w:cs="Arial"/>
          <w:sz w:val="18"/>
          <w:szCs w:val="18"/>
          <w:lang w:eastAsia="en-US"/>
        </w:rPr>
        <w:t>del</w:t>
      </w:r>
      <w:r w:rsidR="008E1CBC" w:rsidRPr="005D5919">
        <w:rPr>
          <w:rFonts w:ascii="Verdana" w:eastAsia="Calibri" w:hAnsi="Verdana" w:cs="Arial"/>
          <w:sz w:val="18"/>
          <w:szCs w:val="18"/>
          <w:lang w:eastAsia="en-US"/>
        </w:rPr>
        <w:t>la propens</w:t>
      </w:r>
      <w:r w:rsidR="009243D3" w:rsidRPr="005D5919">
        <w:rPr>
          <w:rFonts w:ascii="Verdana" w:eastAsia="Calibri" w:hAnsi="Verdana" w:cs="Arial"/>
          <w:sz w:val="18"/>
          <w:szCs w:val="18"/>
          <w:lang w:eastAsia="en-US"/>
        </w:rPr>
        <w:t>ione degli I</w:t>
      </w:r>
      <w:r w:rsidR="00E77705" w:rsidRPr="005D5919">
        <w:rPr>
          <w:rFonts w:ascii="Verdana" w:eastAsia="Calibri" w:hAnsi="Verdana" w:cs="Arial"/>
          <w:sz w:val="18"/>
          <w:szCs w:val="18"/>
          <w:lang w:eastAsia="en-US"/>
        </w:rPr>
        <w:t>taliani al</w:t>
      </w:r>
      <w:r w:rsidR="007A43D0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viaggio</w:t>
      </w:r>
      <w:r w:rsidR="00700443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8B13B6" w:rsidRPr="005D5919">
        <w:rPr>
          <w:rFonts w:ascii="Verdana" w:eastAsia="Calibri" w:hAnsi="Verdana" w:cs="Arial"/>
          <w:sz w:val="18"/>
          <w:szCs w:val="18"/>
          <w:lang w:eastAsia="en-US"/>
        </w:rPr>
        <w:t>pur registrando valori sempre prossimi al massimo storico dall’inizio della rilevazione</w:t>
      </w:r>
      <w:r w:rsidR="008138D5" w:rsidRPr="005D5919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EA0B68" w:rsidRPr="005D5919" w:rsidRDefault="00EA0B6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EA0B68" w:rsidRPr="005D5919" w:rsidRDefault="00EA0B68" w:rsidP="00B4673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8138D5" w:rsidRPr="005D5919" w:rsidRDefault="008138D5" w:rsidP="00B4673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EA0B68" w:rsidRPr="005D5919" w:rsidRDefault="00D857B0" w:rsidP="003C07DB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object w:dxaOrig="7202" w:dyaOrig="5398">
          <v:shape id="_x0000_i1025" type="#_x0000_t75" style="width:5in;height:269.6pt" o:ole="">
            <v:imagedata r:id="rId12" o:title=""/>
          </v:shape>
          <o:OLEObject Type="Embed" ProgID="PowerPoint.Slide.12" ShapeID="_x0000_i1025" DrawAspect="Content" ObjectID="_1508306565" r:id="rId13"/>
        </w:object>
      </w:r>
    </w:p>
    <w:p w:rsidR="00EA0B68" w:rsidRPr="005D5919" w:rsidRDefault="00EA0B68" w:rsidP="00243507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EA0B68" w:rsidRPr="005D5919" w:rsidRDefault="00EA0B6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EA0B68" w:rsidRPr="005D5919" w:rsidRDefault="00EA0B6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9E086F" w:rsidRPr="005D5919" w:rsidRDefault="00E7770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L’indice, risultato di un algoritmo che combina le risposte date ad una serie di domande sulle abitudini e sulle previsioni di viaggio, si attesta </w:t>
      </w:r>
      <w:r w:rsidR="00D857B0" w:rsidRPr="005D5919">
        <w:rPr>
          <w:rFonts w:ascii="Verdana" w:eastAsia="Calibri" w:hAnsi="Verdana" w:cs="Arial"/>
          <w:sz w:val="18"/>
          <w:szCs w:val="18"/>
          <w:lang w:eastAsia="en-US"/>
        </w:rPr>
        <w:t>a ottobre</w:t>
      </w:r>
      <w:r w:rsidR="008138D5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a</w:t>
      </w:r>
      <w:r w:rsidR="00AD5966" w:rsidRPr="005D5919">
        <w:rPr>
          <w:rFonts w:ascii="Verdana" w:eastAsia="Calibri" w:hAnsi="Verdana" w:cs="Arial"/>
          <w:sz w:val="18"/>
          <w:szCs w:val="18"/>
          <w:lang w:eastAsia="en-US"/>
        </w:rPr>
        <w:t>d</w:t>
      </w:r>
      <w:r w:rsidR="003C07DB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9E086F" w:rsidRPr="005D5919">
        <w:rPr>
          <w:rFonts w:ascii="Verdana" w:eastAsia="Calibri" w:hAnsi="Verdana" w:cs="Arial"/>
          <w:sz w:val="18"/>
          <w:szCs w:val="18"/>
          <w:lang w:eastAsia="en-US"/>
        </w:rPr>
        <w:t>un valore pari</w:t>
      </w:r>
      <w:r w:rsidR="007A43D0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a </w:t>
      </w:r>
      <w:r w:rsidR="00AD5966" w:rsidRPr="005D5919">
        <w:rPr>
          <w:rFonts w:ascii="Verdana" w:eastAsia="Calibri" w:hAnsi="Verdana" w:cs="Arial"/>
          <w:sz w:val="18"/>
          <w:szCs w:val="18"/>
          <w:lang w:eastAsia="en-US"/>
        </w:rPr>
        <w:t>6</w:t>
      </w:r>
      <w:r w:rsidR="00D857B0" w:rsidRPr="005D5919">
        <w:rPr>
          <w:rFonts w:ascii="Verdana" w:eastAsia="Calibri" w:hAnsi="Verdana" w:cs="Arial"/>
          <w:sz w:val="18"/>
          <w:szCs w:val="18"/>
          <w:lang w:eastAsia="en-US"/>
        </w:rPr>
        <w:t>0</w:t>
      </w:r>
      <w:r w:rsidR="008138D5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D857B0" w:rsidRPr="005D5919">
        <w:rPr>
          <w:rFonts w:ascii="Verdana" w:eastAsia="Calibri" w:hAnsi="Verdana" w:cs="Arial"/>
          <w:sz w:val="18"/>
          <w:szCs w:val="18"/>
          <w:lang w:eastAsia="en-US"/>
        </w:rPr>
        <w:t>cinque punti in più rispetto allo stesso mese dello scorso anno</w:t>
      </w:r>
      <w:r w:rsidR="00953353" w:rsidRPr="005D5919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FA3415" w:rsidRPr="005D5919" w:rsidRDefault="00FA341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A76725" w:rsidRPr="005D5919" w:rsidRDefault="007C6D6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Rispetto al mese di Ottobre del 201</w:t>
      </w:r>
      <w:r w:rsidR="00C94B9B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4, </w:t>
      </w:r>
      <w:r w:rsidR="008B13B6" w:rsidRPr="005D5919">
        <w:rPr>
          <w:rFonts w:ascii="Verdana" w:eastAsia="Calibri" w:hAnsi="Verdana" w:cs="Arial"/>
          <w:sz w:val="18"/>
          <w:szCs w:val="18"/>
          <w:lang w:eastAsia="en-US"/>
        </w:rPr>
        <w:t>quando l’indice raggiunse il valore minimo</w:t>
      </w:r>
      <w:r w:rsidR="00C94B9B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8B13B6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il suo valore </w:t>
      </w:r>
      <w:r w:rsidR="00D857B0" w:rsidRPr="005D5919">
        <w:rPr>
          <w:rFonts w:ascii="Verdana" w:eastAsia="Calibri" w:hAnsi="Verdana" w:cs="Arial"/>
          <w:sz w:val="18"/>
          <w:szCs w:val="18"/>
          <w:lang w:eastAsia="en-US"/>
        </w:rPr>
        <w:t>è cresciuto del 9 per cento.</w:t>
      </w:r>
      <w:r w:rsidR="008B13B6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A76725" w:rsidRPr="005D5919">
        <w:rPr>
          <w:rFonts w:ascii="Verdana" w:eastAsia="Calibri" w:hAnsi="Verdana" w:cs="Arial"/>
          <w:sz w:val="18"/>
          <w:szCs w:val="18"/>
          <w:lang w:eastAsia="en-US"/>
        </w:rPr>
        <w:t>Il grafico evidenzia le variazioni mese su mese</w:t>
      </w:r>
      <w:r w:rsidR="007C66DA" w:rsidRPr="005D5919">
        <w:rPr>
          <w:rFonts w:ascii="Verdana" w:eastAsia="Calibri" w:hAnsi="Verdana" w:cs="Arial"/>
          <w:sz w:val="18"/>
          <w:szCs w:val="18"/>
          <w:lang w:eastAsia="en-US"/>
        </w:rPr>
        <w:t>,</w:t>
      </w:r>
      <w:r w:rsidR="00A76725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dal mese d’inizio di EXPO, maggio, alla sua conclusione, ottobre.</w:t>
      </w:r>
    </w:p>
    <w:p w:rsidR="0059125E" w:rsidRPr="005D5919" w:rsidRDefault="0059125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59125E" w:rsidRPr="005D5919" w:rsidRDefault="0059125E" w:rsidP="0059125E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noProof/>
          <w:sz w:val="18"/>
          <w:szCs w:val="18"/>
        </w:rPr>
        <w:lastRenderedPageBreak/>
        <w:drawing>
          <wp:inline distT="0" distB="0" distL="0" distR="0" wp14:anchorId="09ECC68D" wp14:editId="5B89BB34">
            <wp:extent cx="4326467" cy="2692400"/>
            <wp:effectExtent l="0" t="0" r="17145" b="12700"/>
            <wp:docPr id="2" name="Gra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9125E" w:rsidRPr="005D5919" w:rsidRDefault="0059125E" w:rsidP="0059125E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Fonte: Elaborazioni Ufficio studi su dati Confturismo-Confcommercio e Istituto Piepoli</w:t>
      </w:r>
    </w:p>
    <w:p w:rsidR="0059125E" w:rsidRPr="005D5919" w:rsidRDefault="0059125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89340E" w:rsidRPr="005D5919" w:rsidRDefault="0089340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89340E" w:rsidRDefault="0089340E" w:rsidP="0089340E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Gli effetti economici della ripresa hanno un’altra motivazione secondo gli italiani. </w:t>
      </w:r>
    </w:p>
    <w:p w:rsidR="00B524E7" w:rsidRPr="005D5919" w:rsidRDefault="00B524E7" w:rsidP="0089340E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89340E" w:rsidRPr="005D5919" w:rsidRDefault="0089340E" w:rsidP="0089340E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La legge di stabilità del 2016 avr</w:t>
      </w:r>
      <w:r w:rsidR="00B0013F">
        <w:rPr>
          <w:rFonts w:ascii="Verdana" w:eastAsia="Calibri" w:hAnsi="Verdana" w:cs="Arial"/>
          <w:sz w:val="18"/>
          <w:szCs w:val="18"/>
          <w:lang w:eastAsia="en-US"/>
        </w:rPr>
        <w:t>à effetti positivi quasi per un I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>taliano su due. La manovra è in chiaroscuro, perché è criticata per alcuni aspetti, quali il canone RAI nella bolletta elettrica.</w:t>
      </w:r>
    </w:p>
    <w:p w:rsidR="0089340E" w:rsidRPr="005D5919" w:rsidRDefault="0089340E" w:rsidP="0089340E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89340E" w:rsidRPr="005D5919" w:rsidRDefault="0089340E" w:rsidP="0089340E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89340E" w:rsidRPr="005D5919" w:rsidRDefault="0089340E" w:rsidP="0089340E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object w:dxaOrig="7200" w:dyaOrig="5388">
          <v:shape id="_x0000_i1026" type="#_x0000_t75" style="width:5in;height:269.6pt" o:ole="">
            <v:imagedata r:id="rId15" o:title=""/>
          </v:shape>
          <o:OLEObject Type="Embed" ProgID="PowerPoint.Slide.12" ShapeID="_x0000_i1026" DrawAspect="Content" ObjectID="_1508306566" r:id="rId16"/>
        </w:object>
      </w:r>
    </w:p>
    <w:p w:rsidR="0089340E" w:rsidRPr="005D5919" w:rsidRDefault="0089340E" w:rsidP="0089340E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89340E" w:rsidRPr="005D5919" w:rsidRDefault="0089340E" w:rsidP="0089340E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89340E" w:rsidRPr="005D5919" w:rsidRDefault="0089340E" w:rsidP="0089340E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89340E" w:rsidRPr="005D5919" w:rsidRDefault="00487E06" w:rsidP="0089340E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La Manovra in atto  potrebbe</w:t>
      </w:r>
      <w:r w:rsidR="0089340E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dare un ulteriore spinta all’economia nel prossimo anno.</w:t>
      </w:r>
    </w:p>
    <w:p w:rsidR="0089340E" w:rsidRPr="005D5919" w:rsidRDefault="0089340E" w:rsidP="0089340E">
      <w:pPr>
        <w:rPr>
          <w:rFonts w:ascii="Verdana" w:hAnsi="Verdana"/>
          <w:sz w:val="18"/>
          <w:szCs w:val="18"/>
        </w:rPr>
      </w:pPr>
    </w:p>
    <w:p w:rsidR="0089340E" w:rsidRPr="005D5919" w:rsidRDefault="0089340E" w:rsidP="0089340E">
      <w:pPr>
        <w:rPr>
          <w:rFonts w:ascii="Verdana" w:hAnsi="Verdana"/>
          <w:sz w:val="18"/>
          <w:szCs w:val="18"/>
        </w:rPr>
      </w:pPr>
    </w:p>
    <w:p w:rsidR="0089340E" w:rsidRPr="005D5919" w:rsidRDefault="0089340E" w:rsidP="0089340E">
      <w:pPr>
        <w:jc w:val="center"/>
        <w:rPr>
          <w:rFonts w:ascii="Verdana" w:hAnsi="Verdana"/>
          <w:sz w:val="18"/>
          <w:szCs w:val="18"/>
        </w:rPr>
      </w:pPr>
      <w:r w:rsidRPr="005D5919">
        <w:rPr>
          <w:rFonts w:ascii="Verdana" w:hAnsi="Verdana"/>
          <w:sz w:val="18"/>
          <w:szCs w:val="18"/>
        </w:rPr>
        <w:object w:dxaOrig="7200" w:dyaOrig="5388">
          <v:shape id="_x0000_i1027" type="#_x0000_t75" style="width:5in;height:269.6pt" o:ole="">
            <v:imagedata r:id="rId17" o:title=""/>
          </v:shape>
          <o:OLEObject Type="Embed" ProgID="PowerPoint.Slide.12" ShapeID="_x0000_i1027" DrawAspect="Content" ObjectID="_1508306567" r:id="rId18"/>
        </w:object>
      </w:r>
    </w:p>
    <w:p w:rsidR="0089340E" w:rsidRPr="005D5919" w:rsidRDefault="0089340E" w:rsidP="0089340E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89340E" w:rsidRPr="005D5919" w:rsidRDefault="0089340E" w:rsidP="0089340E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89340E" w:rsidRPr="005D5919" w:rsidRDefault="0089340E" w:rsidP="0089340E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89340E" w:rsidRPr="005D5919" w:rsidRDefault="00B0013F" w:rsidP="0089340E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Il saldo tra gli I</w:t>
      </w:r>
      <w:r w:rsidR="0089340E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taliani che pensano che la manovra finanziaria possa migliorare la propria situazione economica </w:t>
      </w:r>
      <w:r w:rsidRPr="008D62A3">
        <w:rPr>
          <w:rFonts w:ascii="Verdana" w:eastAsia="Calibri" w:hAnsi="Verdana" w:cs="Arial"/>
          <w:sz w:val="18"/>
          <w:szCs w:val="18"/>
          <w:lang w:eastAsia="en-US"/>
        </w:rPr>
        <w:t>spingendo</w:t>
      </w:r>
      <w:r w:rsidR="0089340E" w:rsidRPr="008D62A3">
        <w:rPr>
          <w:rFonts w:ascii="Verdana" w:eastAsia="Calibri" w:hAnsi="Verdana" w:cs="Arial"/>
          <w:sz w:val="18"/>
          <w:szCs w:val="18"/>
          <w:lang w:eastAsia="en-US"/>
        </w:rPr>
        <w:t xml:space="preserve"> verso una maggiore </w:t>
      </w:r>
      <w:r w:rsidRPr="008D62A3">
        <w:rPr>
          <w:rFonts w:ascii="Verdana" w:eastAsia="Calibri" w:hAnsi="Verdana" w:cs="Arial"/>
          <w:sz w:val="18"/>
          <w:szCs w:val="18"/>
          <w:lang w:eastAsia="en-US"/>
        </w:rPr>
        <w:t xml:space="preserve">propensione al viaggio e quelli di opinione opposta è </w:t>
      </w:r>
      <w:r>
        <w:rPr>
          <w:rFonts w:ascii="Verdana" w:eastAsia="Calibri" w:hAnsi="Verdana" w:cs="Arial"/>
          <w:sz w:val="18"/>
          <w:szCs w:val="18"/>
          <w:lang w:eastAsia="en-US"/>
        </w:rPr>
        <w:t>positiv</w:t>
      </w:r>
      <w:r w:rsidRPr="008D62A3">
        <w:rPr>
          <w:rFonts w:ascii="Verdana" w:eastAsia="Calibri" w:hAnsi="Verdana" w:cs="Arial"/>
          <w:sz w:val="18"/>
          <w:szCs w:val="18"/>
          <w:lang w:eastAsia="en-US"/>
        </w:rPr>
        <w:t>o</w:t>
      </w:r>
      <w:r w:rsidR="0089340E" w:rsidRPr="008D62A3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89340E" w:rsidRPr="005D5919">
        <w:rPr>
          <w:rFonts w:ascii="Verdana" w:eastAsia="Calibri" w:hAnsi="Verdana" w:cs="Arial"/>
          <w:sz w:val="18"/>
          <w:szCs w:val="18"/>
          <w:lang w:eastAsia="en-US"/>
        </w:rPr>
        <w:t>per dodici punti percentuali.</w:t>
      </w:r>
    </w:p>
    <w:p w:rsidR="0089340E" w:rsidRPr="005D5919" w:rsidRDefault="0089340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A3415" w:rsidRPr="005D5919" w:rsidRDefault="00A76725" w:rsidP="00B0013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Si evidenzia che durante tutto il </w:t>
      </w:r>
      <w:r w:rsidR="008B13B6" w:rsidRPr="005D5919">
        <w:rPr>
          <w:rFonts w:ascii="Verdana" w:eastAsia="Calibri" w:hAnsi="Verdana" w:cs="Arial"/>
          <w:sz w:val="18"/>
          <w:szCs w:val="18"/>
          <w:lang w:eastAsia="en-US"/>
        </w:rPr>
        <w:t>semestre di EXPO l’indice di propensione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8B13B6" w:rsidRPr="005D5919">
        <w:rPr>
          <w:rFonts w:ascii="Verdana" w:eastAsia="Calibri" w:hAnsi="Verdana" w:cs="Arial"/>
          <w:sz w:val="18"/>
          <w:szCs w:val="18"/>
          <w:lang w:eastAsia="en-US"/>
        </w:rPr>
        <w:t>ha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sempre </w:t>
      </w:r>
      <w:r w:rsidR="00B0013F">
        <w:rPr>
          <w:rFonts w:ascii="Verdana" w:eastAsia="Calibri" w:hAnsi="Verdana" w:cs="Arial"/>
          <w:sz w:val="18"/>
          <w:szCs w:val="18"/>
          <w:lang w:eastAsia="en-US"/>
        </w:rPr>
        <w:t xml:space="preserve">registrato valori 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circa </w:t>
      </w:r>
      <w:r w:rsidR="007C66DA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del </w:t>
      </w:r>
      <w:r w:rsidR="008B13B6" w:rsidRPr="005D5919">
        <w:rPr>
          <w:rFonts w:ascii="Verdana" w:eastAsia="Calibri" w:hAnsi="Verdana" w:cs="Arial"/>
          <w:sz w:val="18"/>
          <w:szCs w:val="18"/>
          <w:lang w:eastAsia="en-US"/>
        </w:rPr>
        <w:t>10 per cento superiori a quelli de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>l 2014.</w:t>
      </w:r>
    </w:p>
    <w:p w:rsidR="00A76725" w:rsidRPr="005D5919" w:rsidRDefault="00A76725" w:rsidP="00B0013F">
      <w:pPr>
        <w:ind w:right="281"/>
        <w:rPr>
          <w:rFonts w:ascii="Verdana" w:eastAsia="Calibri" w:hAnsi="Verdana" w:cs="Arial"/>
          <w:sz w:val="18"/>
          <w:szCs w:val="18"/>
          <w:lang w:eastAsia="en-US"/>
        </w:rPr>
      </w:pPr>
    </w:p>
    <w:p w:rsidR="007205ED" w:rsidRPr="005D5919" w:rsidRDefault="00066658" w:rsidP="00B0013F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L’ottimismo deriva </w:t>
      </w:r>
      <w:r w:rsidR="001527C1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anche 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dai dati macro-economici che indicano come </w:t>
      </w:r>
      <w:r w:rsidR="00D52F72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la crescita si stia consolidando. Gli ultimi dati dell’Istat </w:t>
      </w:r>
      <w:r w:rsidR="00602BEB" w:rsidRPr="005D5919">
        <w:rPr>
          <w:rFonts w:ascii="Verdana" w:eastAsia="Calibri" w:hAnsi="Verdana" w:cs="Arial"/>
          <w:sz w:val="18"/>
          <w:szCs w:val="18"/>
          <w:lang w:eastAsia="en-US"/>
        </w:rPr>
        <w:t>evidenziano</w:t>
      </w:r>
      <w:r w:rsidR="00D52F72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come la crescita </w:t>
      </w:r>
      <w:r w:rsidR="008B13B6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del PIL </w:t>
      </w:r>
      <w:r w:rsidR="00D52F72" w:rsidRPr="005D5919">
        <w:rPr>
          <w:rFonts w:ascii="Verdana" w:eastAsia="Calibri" w:hAnsi="Verdana" w:cs="Arial"/>
          <w:sz w:val="18"/>
          <w:szCs w:val="18"/>
          <w:lang w:eastAsia="en-US"/>
        </w:rPr>
        <w:t>nel secon</w:t>
      </w:r>
      <w:r w:rsidR="00B0013F">
        <w:rPr>
          <w:rFonts w:ascii="Verdana" w:eastAsia="Calibri" w:hAnsi="Verdana" w:cs="Arial"/>
          <w:sz w:val="18"/>
          <w:szCs w:val="18"/>
          <w:lang w:eastAsia="en-US"/>
        </w:rPr>
        <w:t xml:space="preserve">do trimestre dell’anno sia pari </w:t>
      </w:r>
      <w:r w:rsidR="00D52F72" w:rsidRPr="005D5919">
        <w:rPr>
          <w:rFonts w:ascii="Verdana" w:eastAsia="Calibri" w:hAnsi="Verdana" w:cs="Arial"/>
          <w:sz w:val="18"/>
          <w:szCs w:val="18"/>
          <w:lang w:eastAsia="en-US"/>
        </w:rPr>
        <w:t>allo 0,7 per cento.</w:t>
      </w:r>
    </w:p>
    <w:p w:rsidR="00C94B9B" w:rsidRPr="005D5919" w:rsidRDefault="00C94B9B" w:rsidP="00B0013F">
      <w:pPr>
        <w:ind w:right="281"/>
        <w:rPr>
          <w:rFonts w:ascii="Verdana" w:eastAsia="Calibri" w:hAnsi="Verdana" w:cs="Arial"/>
          <w:sz w:val="18"/>
          <w:szCs w:val="18"/>
          <w:lang w:eastAsia="en-US"/>
        </w:rPr>
      </w:pPr>
    </w:p>
    <w:p w:rsidR="00D52F72" w:rsidRPr="005D5919" w:rsidRDefault="00D77675" w:rsidP="00B0013F">
      <w:pPr>
        <w:ind w:right="281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Il prodotto interno lordo sta crescendo anche grazie al turismo, che è un vero e proprio driver della crescita.</w:t>
      </w:r>
    </w:p>
    <w:p w:rsidR="00B0013F" w:rsidRDefault="00B0013F" w:rsidP="00B0013F">
      <w:pPr>
        <w:ind w:right="281"/>
        <w:rPr>
          <w:rFonts w:ascii="Verdana" w:eastAsia="Calibri" w:hAnsi="Verdana" w:cs="Arial"/>
          <w:sz w:val="18"/>
          <w:szCs w:val="18"/>
          <w:lang w:eastAsia="en-US"/>
        </w:rPr>
      </w:pPr>
    </w:p>
    <w:p w:rsidR="00D77675" w:rsidRPr="005D5919" w:rsidRDefault="00D77675" w:rsidP="00B0013F">
      <w:pPr>
        <w:ind w:right="281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Un altro fattore importante per l’inversione di tendenza dell’ultimo anno, è indubbiamente EXPO.</w:t>
      </w:r>
    </w:p>
    <w:p w:rsidR="00C94B9B" w:rsidRPr="005D5919" w:rsidRDefault="00C94B9B" w:rsidP="007205ED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C94B9B" w:rsidRPr="005D5919" w:rsidRDefault="00C94B9B" w:rsidP="007205ED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C94B9B" w:rsidRPr="005D5919" w:rsidRDefault="00C94B9B" w:rsidP="00C94B9B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C94B9B" w:rsidRPr="005D5919" w:rsidRDefault="007C66DA" w:rsidP="00D52F72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object w:dxaOrig="7202" w:dyaOrig="5398">
          <v:shape id="_x0000_i1028" type="#_x0000_t75" style="width:378.4pt;height:283pt" o:ole="">
            <v:imagedata r:id="rId19" o:title=""/>
          </v:shape>
          <o:OLEObject Type="Embed" ProgID="PowerPoint.Slide.12" ShapeID="_x0000_i1028" DrawAspect="Content" ObjectID="_1508306568" r:id="rId20"/>
        </w:object>
      </w:r>
    </w:p>
    <w:p w:rsidR="00D77675" w:rsidRPr="005D5919" w:rsidRDefault="00D77675" w:rsidP="00D77675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D77675" w:rsidRPr="005D5919" w:rsidRDefault="00D77675" w:rsidP="00D77675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C94B9B" w:rsidRPr="005D5919" w:rsidRDefault="00C94B9B" w:rsidP="007205ED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C94B9B" w:rsidRPr="005D5919" w:rsidRDefault="008B13B6" w:rsidP="0017731A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Quasi otto I</w:t>
      </w:r>
      <w:r w:rsidR="00D77675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taliani su dieci 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>affermano che l’immagine dell’Italia</w:t>
      </w:r>
      <w:r w:rsidR="00D77675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è cresciuta grazie all’evento mondiale.</w:t>
      </w:r>
    </w:p>
    <w:p w:rsidR="00215464" w:rsidRPr="005D5919" w:rsidRDefault="00215464" w:rsidP="0017731A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7731A" w:rsidRPr="005D5919" w:rsidRDefault="00D77675" w:rsidP="0017731A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Non solo l’immagine del Paese ne ha beneficiato, ma in generale l’esposizione universale ha portato una ventata di ottimismo</w:t>
      </w:r>
      <w:r w:rsidR="000E57D8" w:rsidRPr="005D5919">
        <w:rPr>
          <w:rFonts w:ascii="Verdana" w:eastAsia="Calibri" w:hAnsi="Verdana" w:cs="Arial"/>
          <w:sz w:val="18"/>
          <w:szCs w:val="18"/>
          <w:lang w:eastAsia="en-US"/>
        </w:rPr>
        <w:t>:</w:t>
      </w:r>
      <w:r w:rsidR="008B13B6" w:rsidRPr="005D5919">
        <w:rPr>
          <w:rFonts w:ascii="Verdana" w:hAnsi="Verdana"/>
          <w:sz w:val="18"/>
          <w:szCs w:val="18"/>
        </w:rPr>
        <w:t xml:space="preserve"> </w:t>
      </w:r>
      <w:r w:rsidR="000E57D8" w:rsidRPr="005D5919">
        <w:rPr>
          <w:rFonts w:ascii="Verdana" w:eastAsia="Calibri" w:hAnsi="Verdana" w:cs="Arial"/>
          <w:sz w:val="18"/>
          <w:szCs w:val="18"/>
          <w:lang w:eastAsia="en-US"/>
        </w:rPr>
        <w:t>l</w:t>
      </w:r>
      <w:r w:rsidR="008B13B6" w:rsidRPr="005D5919">
        <w:rPr>
          <w:rFonts w:ascii="Verdana" w:eastAsia="Calibri" w:hAnsi="Verdana" w:cs="Arial"/>
          <w:sz w:val="18"/>
          <w:szCs w:val="18"/>
          <w:lang w:eastAsia="en-US"/>
        </w:rPr>
        <w:t>o afferma un Italiano su due.</w:t>
      </w:r>
    </w:p>
    <w:p w:rsidR="00EF1F81" w:rsidRPr="005D5919" w:rsidRDefault="00EF1F81" w:rsidP="0017731A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487E06" w:rsidRDefault="00D77675" w:rsidP="00487E06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In termini economici, la fiducia è molto importante poiché tende ad alimentare la crescita economica e l’occupazione.</w:t>
      </w:r>
    </w:p>
    <w:p w:rsidR="00B0013F" w:rsidRPr="005D5919" w:rsidRDefault="00B0013F" w:rsidP="00487E06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205ED" w:rsidRPr="005D5919" w:rsidRDefault="00D77675" w:rsidP="00487E06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object w:dxaOrig="7202" w:dyaOrig="5398">
          <v:shape id="_x0000_i1029" type="#_x0000_t75" style="width:5in;height:269.6pt" o:ole="">
            <v:imagedata r:id="rId21" o:title=""/>
          </v:shape>
          <o:OLEObject Type="Embed" ProgID="PowerPoint.Slide.12" ShapeID="_x0000_i1029" DrawAspect="Content" ObjectID="_1508306569" r:id="rId22"/>
        </w:object>
      </w:r>
    </w:p>
    <w:p w:rsidR="007205ED" w:rsidRPr="005D5919" w:rsidRDefault="007205ED" w:rsidP="00487E06">
      <w:pPr>
        <w:ind w:right="281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7205ED" w:rsidRPr="005D5919" w:rsidRDefault="007205ED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E5677C" w:rsidRPr="005D5919" w:rsidRDefault="00E5677C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Dei 22</w:t>
      </w:r>
      <w:r w:rsidR="00E0032E" w:rsidRPr="005D5919">
        <w:rPr>
          <w:rFonts w:ascii="Verdana" w:eastAsia="Calibri" w:hAnsi="Verdana" w:cs="Arial"/>
          <w:sz w:val="18"/>
          <w:szCs w:val="18"/>
          <w:lang w:eastAsia="en-US"/>
        </w:rPr>
        <w:t>,1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milioni di visitatori, quasi quattro su cinque hanno gradito l’evento. La percentuale è altissima, tenendo anche in considerazione le </w:t>
      </w:r>
      <w:r w:rsidR="000E57D8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difficoltà organizzative e logistiche che non sono mancate, soprattutto nelle prime settimane. </w:t>
      </w:r>
    </w:p>
    <w:p w:rsidR="00066658" w:rsidRPr="005D5919" w:rsidRDefault="00066658" w:rsidP="007205E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E5677C" w:rsidRPr="005D5919" w:rsidRDefault="00E5677C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Una parte molto importante </w:t>
      </w:r>
      <w:r w:rsidR="000E57D8" w:rsidRPr="005D5919">
        <w:rPr>
          <w:rFonts w:ascii="Verdana" w:eastAsia="Calibri" w:hAnsi="Verdana" w:cs="Arial"/>
          <w:sz w:val="18"/>
          <w:szCs w:val="18"/>
          <w:lang w:eastAsia="en-US"/>
        </w:rPr>
        <w:t>degli Italiani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, quattro </w:t>
      </w:r>
      <w:r w:rsidR="000E57D8" w:rsidRPr="005D5919">
        <w:rPr>
          <w:rFonts w:ascii="Verdana" w:eastAsia="Calibri" w:hAnsi="Verdana" w:cs="Arial"/>
          <w:sz w:val="18"/>
          <w:szCs w:val="18"/>
          <w:lang w:eastAsia="en-US"/>
        </w:rPr>
        <w:t>su dieci, continua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a temere che possa scoppiare un nuovo conflitto globale.</w:t>
      </w:r>
      <w:r w:rsidR="00357680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>In particolare sono le donne che hanno maggiormente paura.</w:t>
      </w:r>
    </w:p>
    <w:p w:rsidR="00E5677C" w:rsidRPr="005D5919" w:rsidRDefault="00E5677C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Questo timore non aiuta certo a sviluppare il turismo che è un settore molto </w:t>
      </w:r>
      <w:r w:rsidR="000E57D8" w:rsidRPr="005D5919">
        <w:rPr>
          <w:rFonts w:ascii="Verdana" w:eastAsia="Calibri" w:hAnsi="Verdana" w:cs="Arial"/>
          <w:sz w:val="18"/>
          <w:szCs w:val="18"/>
          <w:lang w:eastAsia="en-US"/>
        </w:rPr>
        <w:t>esposto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agli shock esterni.</w:t>
      </w:r>
    </w:p>
    <w:p w:rsidR="002C17F4" w:rsidRPr="005D5919" w:rsidRDefault="002C17F4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6A6EBB" w:rsidRDefault="006A6EBB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A92D79" w:rsidRPr="005D5919" w:rsidRDefault="00A92D79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L’incertezza verso l’area medio-orientale si evidenzia anche dall’analisi delle destinazioni scelte dai viaggiatori nei prossimi tre mesi.</w:t>
      </w:r>
    </w:p>
    <w:p w:rsidR="00A92D79" w:rsidRPr="005D5919" w:rsidRDefault="00A92D79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L’area Nord-Africa esce dal top delle preferenze delle destinazioni mondiali, non solamente per il </w:t>
      </w:r>
      <w:r w:rsidR="000E57D8" w:rsidRPr="005D5919">
        <w:rPr>
          <w:rFonts w:ascii="Verdana" w:eastAsia="Calibri" w:hAnsi="Verdana" w:cs="Arial"/>
          <w:sz w:val="18"/>
          <w:szCs w:val="18"/>
          <w:lang w:eastAsia="en-US"/>
        </w:rPr>
        <w:t>ciclo stagionale che in inverno non favorisce certo destinazioni come la Tunisia o il Marocco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>, ma anche per l’incertezza che tuttora è presente.</w:t>
      </w:r>
    </w:p>
    <w:p w:rsidR="00357680" w:rsidRPr="005D5919" w:rsidRDefault="00357680" w:rsidP="004A386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4A3867" w:rsidRPr="005D5919" w:rsidRDefault="00A92D79" w:rsidP="003351DC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object w:dxaOrig="7202" w:dyaOrig="5398">
          <v:shape id="_x0000_i1030" type="#_x0000_t75" style="width:5in;height:269.6pt" o:ole="">
            <v:imagedata r:id="rId23" o:title=""/>
          </v:shape>
          <o:OLEObject Type="Embed" ProgID="PowerPoint.Slide.12" ShapeID="_x0000_i1030" DrawAspect="Content" ObjectID="_1508306570" r:id="rId24"/>
        </w:object>
      </w:r>
    </w:p>
    <w:p w:rsidR="00A92D79" w:rsidRPr="005D5919" w:rsidRDefault="00A92D79" w:rsidP="00A92D79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A92D79" w:rsidRPr="005D5919" w:rsidRDefault="00A92D79" w:rsidP="00A92D79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4A3867" w:rsidRPr="005D5919" w:rsidRDefault="004A3867" w:rsidP="004A3867">
      <w:pPr>
        <w:ind w:right="281"/>
        <w:jc w:val="both"/>
        <w:rPr>
          <w:rFonts w:ascii="Verdana" w:eastAsia="Calibri" w:hAnsi="Verdana" w:cs="Arial"/>
          <w:sz w:val="18"/>
          <w:szCs w:val="18"/>
          <w:highlight w:val="yellow"/>
          <w:lang w:eastAsia="en-US"/>
        </w:rPr>
      </w:pPr>
    </w:p>
    <w:p w:rsidR="004A3867" w:rsidRPr="005D5919" w:rsidRDefault="00A92D79" w:rsidP="004A386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Il Trentino Alto Adige è</w:t>
      </w:r>
      <w:r w:rsidR="000E57D8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al top delle preferenze degli I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>taliani per i prossimi tre mesi, anche visto il periodo invernale</w:t>
      </w:r>
      <w:r w:rsidR="000E57D8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e l’attrattiva dei mercatini di Natale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>. La Toscana e il Lazio seguono nella classifica, mentre rimane in quarta posizione la Lombardia</w:t>
      </w:r>
      <w:r w:rsidR="000E57D8" w:rsidRPr="005D5919">
        <w:rPr>
          <w:rFonts w:ascii="Verdana" w:eastAsia="Calibri" w:hAnsi="Verdana" w:cs="Arial"/>
          <w:sz w:val="18"/>
          <w:szCs w:val="18"/>
          <w:lang w:eastAsia="en-US"/>
        </w:rPr>
        <w:t>,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che beneficia della coda dell’evento Expo.</w:t>
      </w:r>
    </w:p>
    <w:p w:rsidR="004A3867" w:rsidRPr="005D5919" w:rsidRDefault="004A3867" w:rsidP="004A386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3C48DA" w:rsidRPr="005D5919" w:rsidRDefault="005169E2" w:rsidP="004A386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>In Europa</w:t>
      </w:r>
      <w:r w:rsidR="003351DC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la </w:t>
      </w:r>
      <w:r w:rsidR="00ED6F58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Spagna rimane in posizione di </w:t>
      </w:r>
      <w:r w:rsidR="00670676" w:rsidRPr="005D5919">
        <w:rPr>
          <w:rFonts w:ascii="Verdana" w:eastAsia="Calibri" w:hAnsi="Verdana" w:cs="Arial"/>
          <w:sz w:val="18"/>
          <w:szCs w:val="18"/>
          <w:lang w:eastAsia="en-US"/>
        </w:rPr>
        <w:t>leadership</w:t>
      </w:r>
      <w:r w:rsidR="004A3867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ED6F58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davanti </w:t>
      </w:r>
      <w:r w:rsidR="003C48DA" w:rsidRPr="005D5919">
        <w:rPr>
          <w:rFonts w:ascii="Verdana" w:eastAsia="Calibri" w:hAnsi="Verdana" w:cs="Arial"/>
          <w:sz w:val="18"/>
          <w:szCs w:val="18"/>
          <w:lang w:eastAsia="en-US"/>
        </w:rPr>
        <w:t>al Regno Unito</w:t>
      </w:r>
      <w:r w:rsidR="00A92D79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e all</w:t>
      </w:r>
      <w:r w:rsidR="003C48DA" w:rsidRPr="005D5919">
        <w:rPr>
          <w:rFonts w:ascii="Verdana" w:eastAsia="Calibri" w:hAnsi="Verdana" w:cs="Arial"/>
          <w:sz w:val="18"/>
          <w:szCs w:val="18"/>
          <w:lang w:eastAsia="en-US"/>
        </w:rPr>
        <w:t>a Germania</w:t>
      </w:r>
      <w:r w:rsidR="00A92D79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. </w:t>
      </w:r>
    </w:p>
    <w:p w:rsidR="004A3867" w:rsidRPr="005D5919" w:rsidRDefault="004A3867" w:rsidP="004A386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A livello di </w:t>
      </w:r>
      <w:r w:rsidR="005462BC" w:rsidRPr="005D5919">
        <w:rPr>
          <w:rFonts w:ascii="Verdana" w:eastAsia="Calibri" w:hAnsi="Verdana" w:cs="Arial"/>
          <w:sz w:val="18"/>
          <w:szCs w:val="18"/>
          <w:lang w:eastAsia="en-US"/>
        </w:rPr>
        <w:t>destinazioni</w:t>
      </w:r>
      <w:r w:rsidR="003C48DA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>extra-europee</w:t>
      </w:r>
      <w:r w:rsidR="00B61D8F" w:rsidRPr="005D5919">
        <w:rPr>
          <w:rFonts w:ascii="Verdana" w:eastAsia="Calibri" w:hAnsi="Verdana" w:cs="Arial"/>
          <w:sz w:val="18"/>
          <w:szCs w:val="18"/>
          <w:lang w:eastAsia="en-US"/>
        </w:rPr>
        <w:t>,</w:t>
      </w:r>
      <w:r w:rsidR="003C48DA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A92D79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gli Stati Uniti </w:t>
      </w:r>
      <w:r w:rsidR="000E57D8" w:rsidRPr="005D5919">
        <w:rPr>
          <w:rFonts w:ascii="Verdana" w:eastAsia="Calibri" w:hAnsi="Verdana" w:cs="Arial"/>
          <w:sz w:val="18"/>
          <w:szCs w:val="18"/>
          <w:lang w:eastAsia="en-US"/>
        </w:rPr>
        <w:t>sono al</w:t>
      </w:r>
      <w:r w:rsidR="00A92D79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vertice davanti ai Caraibi.</w:t>
      </w:r>
    </w:p>
    <w:p w:rsidR="00B16DE8" w:rsidRPr="005D5919" w:rsidRDefault="00B16DE8" w:rsidP="001E3387">
      <w:pPr>
        <w:ind w:right="281"/>
        <w:rPr>
          <w:rFonts w:ascii="Verdana" w:eastAsia="Calibri" w:hAnsi="Verdana" w:cs="Arial"/>
          <w:sz w:val="18"/>
          <w:szCs w:val="18"/>
          <w:lang w:eastAsia="en-US"/>
        </w:rPr>
      </w:pPr>
    </w:p>
    <w:p w:rsidR="006608B2" w:rsidRPr="005D5919" w:rsidRDefault="001E3387" w:rsidP="00CA1804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I prossimi </w:t>
      </w:r>
      <w:r w:rsidR="003351DC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tre 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mesi si caratterizzano </w:t>
      </w:r>
      <w:r w:rsidR="00010FFE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inoltre 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per una durata media del viaggio </w:t>
      </w:r>
      <w:r w:rsidR="00A92D79" w:rsidRPr="005D5919">
        <w:rPr>
          <w:rFonts w:ascii="Verdana" w:eastAsia="Calibri" w:hAnsi="Verdana" w:cs="Arial"/>
          <w:sz w:val="18"/>
          <w:szCs w:val="18"/>
          <w:lang w:eastAsia="en-US"/>
        </w:rPr>
        <w:t>stabile</w:t>
      </w:r>
      <w:r w:rsidR="003351DC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rispetto </w:t>
      </w:r>
      <w:r w:rsidR="002516FF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allo stesso </w:t>
      </w:r>
      <w:r w:rsidR="000E57D8" w:rsidRPr="005D5919">
        <w:rPr>
          <w:rFonts w:ascii="Verdana" w:eastAsia="Calibri" w:hAnsi="Verdana" w:cs="Arial"/>
          <w:sz w:val="18"/>
          <w:szCs w:val="18"/>
          <w:lang w:eastAsia="en-US"/>
        </w:rPr>
        <w:t>peri</w:t>
      </w:r>
      <w:r w:rsidR="003623C9" w:rsidRPr="005D5919">
        <w:rPr>
          <w:rFonts w:ascii="Verdana" w:eastAsia="Calibri" w:hAnsi="Verdana" w:cs="Arial"/>
          <w:sz w:val="18"/>
          <w:szCs w:val="18"/>
          <w:lang w:eastAsia="en-US"/>
        </w:rPr>
        <w:t>o</w:t>
      </w:r>
      <w:r w:rsidR="000E57D8" w:rsidRPr="005D5919">
        <w:rPr>
          <w:rFonts w:ascii="Verdana" w:eastAsia="Calibri" w:hAnsi="Verdana" w:cs="Arial"/>
          <w:sz w:val="18"/>
          <w:szCs w:val="18"/>
          <w:lang w:eastAsia="en-US"/>
        </w:rPr>
        <w:t>do</w:t>
      </w:r>
      <w:r w:rsidR="00ED6F58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dello scorso anno.</w:t>
      </w:r>
    </w:p>
    <w:p w:rsidR="001E3387" w:rsidRPr="005D5919" w:rsidRDefault="001E3387" w:rsidP="001E3387">
      <w:pPr>
        <w:ind w:right="281"/>
        <w:rPr>
          <w:rFonts w:ascii="Verdana" w:eastAsia="Calibri" w:hAnsi="Verdana" w:cs="Arial"/>
          <w:sz w:val="18"/>
          <w:szCs w:val="18"/>
          <w:lang w:eastAsia="en-US"/>
        </w:rPr>
      </w:pPr>
    </w:p>
    <w:p w:rsidR="005C0F4D" w:rsidRPr="005D5919" w:rsidRDefault="006608B2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Il valore è in </w:t>
      </w:r>
      <w:r w:rsidR="00ED6F58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diminuzione rispetto a </w:t>
      </w:r>
      <w:r w:rsidR="00A92D79" w:rsidRPr="005D5919">
        <w:rPr>
          <w:rFonts w:ascii="Verdana" w:eastAsia="Calibri" w:hAnsi="Verdana" w:cs="Arial"/>
          <w:sz w:val="18"/>
          <w:szCs w:val="18"/>
          <w:lang w:eastAsia="en-US"/>
        </w:rPr>
        <w:t>settembre</w:t>
      </w:r>
      <w:r w:rsidR="00ED6F58"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ma </w:t>
      </w:r>
      <w:r w:rsidR="000E57D8" w:rsidRPr="005D5919">
        <w:rPr>
          <w:rFonts w:ascii="Verdana" w:eastAsia="Calibri" w:hAnsi="Verdana" w:cs="Arial"/>
          <w:sz w:val="18"/>
          <w:szCs w:val="18"/>
          <w:lang w:eastAsia="en-US"/>
        </w:rPr>
        <w:t>questo è fisiologico nel passaggio dall’estate all’inverno</w:t>
      </w:r>
      <w:r w:rsidR="003C48DA" w:rsidRPr="005D5919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5C0F4D" w:rsidRPr="005D5919" w:rsidRDefault="003C48DA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La tendenza </w:t>
      </w:r>
      <w:r w:rsidR="003623C9" w:rsidRPr="005D5919">
        <w:rPr>
          <w:rFonts w:ascii="Verdana" w:eastAsia="Calibri" w:hAnsi="Verdana" w:cs="Arial"/>
          <w:sz w:val="18"/>
          <w:szCs w:val="18"/>
          <w:lang w:eastAsia="en-US"/>
        </w:rPr>
        <w:t>degli Italiani a preferire viaggi di durata minore rispetto a qualche anno fa</w:t>
      </w:r>
      <w:r w:rsidRPr="005D5919">
        <w:rPr>
          <w:rFonts w:ascii="Verdana" w:eastAsia="Calibri" w:hAnsi="Verdana" w:cs="Arial"/>
          <w:sz w:val="18"/>
          <w:szCs w:val="18"/>
          <w:lang w:eastAsia="en-US"/>
        </w:rPr>
        <w:t xml:space="preserve"> è dunque confermata. </w:t>
      </w:r>
    </w:p>
    <w:p w:rsidR="00E0442E" w:rsidRPr="005D5919" w:rsidRDefault="00A92D79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18"/>
          <w:szCs w:val="18"/>
        </w:rPr>
      </w:pPr>
      <w:r w:rsidRPr="005D5919">
        <w:rPr>
          <w:rFonts w:ascii="Verdana" w:hAnsi="Verdana" w:cs="Arial"/>
          <w:sz w:val="18"/>
          <w:szCs w:val="18"/>
        </w:rPr>
        <w:t>Gli</w:t>
      </w:r>
      <w:r w:rsidR="003C48DA" w:rsidRPr="005D5919">
        <w:rPr>
          <w:rFonts w:ascii="Verdana" w:hAnsi="Verdana" w:cs="Arial"/>
          <w:sz w:val="18"/>
          <w:szCs w:val="18"/>
        </w:rPr>
        <w:t xml:space="preserve"> italiani fanno più vacanze, ma meno lunghe.</w:t>
      </w:r>
    </w:p>
    <w:p w:rsidR="00057EA4" w:rsidRPr="005D5919" w:rsidRDefault="00057EA4" w:rsidP="00057EA4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18"/>
          <w:szCs w:val="18"/>
        </w:rPr>
      </w:pPr>
    </w:p>
    <w:p w:rsidR="00057EA4" w:rsidRPr="005D5919" w:rsidRDefault="00057EA4" w:rsidP="00057EA4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18"/>
          <w:szCs w:val="18"/>
        </w:rPr>
      </w:pPr>
    </w:p>
    <w:p w:rsidR="00BE5261" w:rsidRPr="005D5919" w:rsidRDefault="00BE5261" w:rsidP="005A09E9">
      <w:pPr>
        <w:pStyle w:val="NormaleWeb"/>
        <w:shd w:val="clear" w:color="auto" w:fill="FFFFFF"/>
        <w:spacing w:before="0"/>
        <w:ind w:right="281"/>
        <w:jc w:val="both"/>
        <w:rPr>
          <w:rFonts w:ascii="Verdana" w:hAnsi="Verdana" w:cs="Arial"/>
          <w:sz w:val="18"/>
          <w:szCs w:val="18"/>
        </w:rPr>
      </w:pPr>
    </w:p>
    <w:sectPr w:rsidR="00BE5261" w:rsidRPr="005D5919" w:rsidSect="00001D3D">
      <w:footerReference w:type="even" r:id="rId25"/>
      <w:footerReference w:type="default" r:id="rId26"/>
      <w:pgSz w:w="11906" w:h="16838"/>
      <w:pgMar w:top="1134" w:right="851" w:bottom="709" w:left="1418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B56" w:rsidRDefault="004D1B56">
      <w:r>
        <w:separator/>
      </w:r>
    </w:p>
  </w:endnote>
  <w:endnote w:type="continuationSeparator" w:id="0">
    <w:p w:rsidR="004D1B56" w:rsidRDefault="004D1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C7555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61D9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61D94" w:rsidRDefault="00D61D9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C75557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 w:rsidR="00D61D94"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F07CD8">
      <w:rPr>
        <w:rStyle w:val="Numeropagina"/>
        <w:noProof/>
        <w:sz w:val="18"/>
      </w:rPr>
      <w:t>2</w:t>
    </w:r>
    <w:r>
      <w:rPr>
        <w:rStyle w:val="Numeropagina"/>
        <w:sz w:val="18"/>
      </w:rPr>
      <w:fldChar w:fldCharType="end"/>
    </w:r>
  </w:p>
  <w:p w:rsidR="00D61D94" w:rsidRDefault="00D61D9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B56" w:rsidRDefault="004D1B56">
      <w:r>
        <w:separator/>
      </w:r>
    </w:p>
  </w:footnote>
  <w:footnote w:type="continuationSeparator" w:id="0">
    <w:p w:rsidR="004D1B56" w:rsidRDefault="004D1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3.65pt;height:67.8pt" o:bullet="t">
        <v:imagedata r:id="rId1" o:title="artF655"/>
      </v:shape>
    </w:pict>
  </w:numPicBullet>
  <w:abstractNum w:abstractNumId="0">
    <w:nsid w:val="FFFFFF89"/>
    <w:multiLevelType w:val="singleLevel"/>
    <w:tmpl w:val="8B3E58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73D62"/>
    <w:multiLevelType w:val="hybridMultilevel"/>
    <w:tmpl w:val="419695A0"/>
    <w:lvl w:ilvl="0" w:tplc="A9EAE1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09B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EE3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18A8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4C30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610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DE38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4D3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23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56D0A"/>
    <w:multiLevelType w:val="hybridMultilevel"/>
    <w:tmpl w:val="C7AA6D84"/>
    <w:lvl w:ilvl="0" w:tplc="C08C3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818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2B1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FE6D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AD2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6D0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B85A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04A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D25E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F9E6CAA"/>
    <w:multiLevelType w:val="hybridMultilevel"/>
    <w:tmpl w:val="17E4F4C2"/>
    <w:lvl w:ilvl="0" w:tplc="5566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1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76FB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CF0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095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6A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EF3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C1B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E24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4F0ABF"/>
    <w:multiLevelType w:val="hybridMultilevel"/>
    <w:tmpl w:val="F54AD76A"/>
    <w:lvl w:ilvl="0" w:tplc="9EF80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80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A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869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67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8EC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C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6FA4B96"/>
    <w:multiLevelType w:val="hybridMultilevel"/>
    <w:tmpl w:val="F70C435C"/>
    <w:lvl w:ilvl="0" w:tplc="A4A60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F5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04C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E5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0F8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CD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2C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78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8E8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9F353CC"/>
    <w:multiLevelType w:val="hybridMultilevel"/>
    <w:tmpl w:val="0E80C912"/>
    <w:lvl w:ilvl="0" w:tplc="64EC1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A5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3ECE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F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A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EB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E5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CB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A132A59"/>
    <w:multiLevelType w:val="hybridMultilevel"/>
    <w:tmpl w:val="A366EDAA"/>
    <w:lvl w:ilvl="0" w:tplc="52247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6285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83F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E61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1419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76A3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D5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8C9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7C65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F3351C0"/>
    <w:multiLevelType w:val="hybridMultilevel"/>
    <w:tmpl w:val="D828FF7A"/>
    <w:lvl w:ilvl="0" w:tplc="72B4BC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5C25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AE2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EC76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48E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A0BE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2A37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EC7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048D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22E1C42"/>
    <w:multiLevelType w:val="hybridMultilevel"/>
    <w:tmpl w:val="9F087B06"/>
    <w:lvl w:ilvl="0" w:tplc="09A8D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4BF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20F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8E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07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22B8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077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A0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7858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5"/>
  </w:num>
  <w:num w:numId="5">
    <w:abstractNumId w:val="5"/>
  </w:num>
  <w:num w:numId="6">
    <w:abstractNumId w:val="8"/>
  </w:num>
  <w:num w:numId="7">
    <w:abstractNumId w:val="11"/>
  </w:num>
  <w:num w:numId="8">
    <w:abstractNumId w:val="6"/>
  </w:num>
  <w:num w:numId="9">
    <w:abstractNumId w:val="12"/>
  </w:num>
  <w:num w:numId="10">
    <w:abstractNumId w:val="13"/>
  </w:num>
  <w:num w:numId="11">
    <w:abstractNumId w:val="0"/>
  </w:num>
  <w:num w:numId="12">
    <w:abstractNumId w:val="10"/>
  </w:num>
  <w:num w:numId="13">
    <w:abstractNumId w:val="17"/>
  </w:num>
  <w:num w:numId="14">
    <w:abstractNumId w:val="1"/>
  </w:num>
  <w:num w:numId="15">
    <w:abstractNumId w:val="7"/>
  </w:num>
  <w:num w:numId="16">
    <w:abstractNumId w:val="3"/>
  </w:num>
  <w:num w:numId="17">
    <w:abstractNumId w:val="1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D3D"/>
    <w:rsid w:val="00010FFE"/>
    <w:rsid w:val="00011552"/>
    <w:rsid w:val="0001739D"/>
    <w:rsid w:val="00025A3D"/>
    <w:rsid w:val="000332D0"/>
    <w:rsid w:val="00040445"/>
    <w:rsid w:val="00042226"/>
    <w:rsid w:val="0005055B"/>
    <w:rsid w:val="0005271C"/>
    <w:rsid w:val="00052C47"/>
    <w:rsid w:val="00057EA4"/>
    <w:rsid w:val="00063570"/>
    <w:rsid w:val="00065B9E"/>
    <w:rsid w:val="00066528"/>
    <w:rsid w:val="00066658"/>
    <w:rsid w:val="0006743F"/>
    <w:rsid w:val="000800D6"/>
    <w:rsid w:val="00095118"/>
    <w:rsid w:val="000956C6"/>
    <w:rsid w:val="000A5E2E"/>
    <w:rsid w:val="000B2A8E"/>
    <w:rsid w:val="000B77B4"/>
    <w:rsid w:val="000C2CEE"/>
    <w:rsid w:val="000C4760"/>
    <w:rsid w:val="000D02C3"/>
    <w:rsid w:val="000D0F58"/>
    <w:rsid w:val="000E245E"/>
    <w:rsid w:val="000E5389"/>
    <w:rsid w:val="000E57D8"/>
    <w:rsid w:val="000F0623"/>
    <w:rsid w:val="000F19AE"/>
    <w:rsid w:val="00103195"/>
    <w:rsid w:val="00103C03"/>
    <w:rsid w:val="00107BBB"/>
    <w:rsid w:val="001225F9"/>
    <w:rsid w:val="00124E9D"/>
    <w:rsid w:val="001257A5"/>
    <w:rsid w:val="00131148"/>
    <w:rsid w:val="00131A9B"/>
    <w:rsid w:val="00131CFB"/>
    <w:rsid w:val="00143F99"/>
    <w:rsid w:val="00144C6A"/>
    <w:rsid w:val="001527C1"/>
    <w:rsid w:val="00162C05"/>
    <w:rsid w:val="00166854"/>
    <w:rsid w:val="001714F1"/>
    <w:rsid w:val="00175025"/>
    <w:rsid w:val="0017731A"/>
    <w:rsid w:val="00181B14"/>
    <w:rsid w:val="001839A8"/>
    <w:rsid w:val="00186AA5"/>
    <w:rsid w:val="001931D2"/>
    <w:rsid w:val="0019543F"/>
    <w:rsid w:val="001B1D2C"/>
    <w:rsid w:val="001B31C3"/>
    <w:rsid w:val="001C0A6C"/>
    <w:rsid w:val="001D3F9C"/>
    <w:rsid w:val="001D79DE"/>
    <w:rsid w:val="001D7BDA"/>
    <w:rsid w:val="001E3387"/>
    <w:rsid w:val="001F1EFA"/>
    <w:rsid w:val="001F2B32"/>
    <w:rsid w:val="00201C4D"/>
    <w:rsid w:val="002039E6"/>
    <w:rsid w:val="002100B3"/>
    <w:rsid w:val="002124B6"/>
    <w:rsid w:val="00215464"/>
    <w:rsid w:val="00223875"/>
    <w:rsid w:val="00235DB7"/>
    <w:rsid w:val="00235E06"/>
    <w:rsid w:val="00236EAD"/>
    <w:rsid w:val="00243507"/>
    <w:rsid w:val="0024422E"/>
    <w:rsid w:val="0024444E"/>
    <w:rsid w:val="002516FF"/>
    <w:rsid w:val="00270F48"/>
    <w:rsid w:val="00271373"/>
    <w:rsid w:val="00277245"/>
    <w:rsid w:val="00283E77"/>
    <w:rsid w:val="002A31A8"/>
    <w:rsid w:val="002A4F38"/>
    <w:rsid w:val="002A50A9"/>
    <w:rsid w:val="002A5F21"/>
    <w:rsid w:val="002B003F"/>
    <w:rsid w:val="002B1A00"/>
    <w:rsid w:val="002B389A"/>
    <w:rsid w:val="002C17F4"/>
    <w:rsid w:val="002C3484"/>
    <w:rsid w:val="002D3F5D"/>
    <w:rsid w:val="002E6349"/>
    <w:rsid w:val="002E6C6A"/>
    <w:rsid w:val="002F0D6B"/>
    <w:rsid w:val="002F13F0"/>
    <w:rsid w:val="002F3FA0"/>
    <w:rsid w:val="002F5126"/>
    <w:rsid w:val="002F589D"/>
    <w:rsid w:val="002F7B56"/>
    <w:rsid w:val="00304A96"/>
    <w:rsid w:val="0032073A"/>
    <w:rsid w:val="003268FC"/>
    <w:rsid w:val="0033097E"/>
    <w:rsid w:val="00331CD9"/>
    <w:rsid w:val="003351DC"/>
    <w:rsid w:val="003354CF"/>
    <w:rsid w:val="00357680"/>
    <w:rsid w:val="003605EE"/>
    <w:rsid w:val="003623C9"/>
    <w:rsid w:val="003656CC"/>
    <w:rsid w:val="00380141"/>
    <w:rsid w:val="00392C4F"/>
    <w:rsid w:val="00393302"/>
    <w:rsid w:val="0039502F"/>
    <w:rsid w:val="003A56DE"/>
    <w:rsid w:val="003B3296"/>
    <w:rsid w:val="003C07DB"/>
    <w:rsid w:val="003C4723"/>
    <w:rsid w:val="003C48DA"/>
    <w:rsid w:val="003E26EC"/>
    <w:rsid w:val="003E345D"/>
    <w:rsid w:val="003E34B3"/>
    <w:rsid w:val="003E67B7"/>
    <w:rsid w:val="0040414A"/>
    <w:rsid w:val="00404399"/>
    <w:rsid w:val="00412F6B"/>
    <w:rsid w:val="00420B12"/>
    <w:rsid w:val="0043335F"/>
    <w:rsid w:val="00433730"/>
    <w:rsid w:val="00453E1F"/>
    <w:rsid w:val="00456063"/>
    <w:rsid w:val="0046724C"/>
    <w:rsid w:val="00467B36"/>
    <w:rsid w:val="00470D37"/>
    <w:rsid w:val="00476E1E"/>
    <w:rsid w:val="0048330E"/>
    <w:rsid w:val="00484AA2"/>
    <w:rsid w:val="00487E06"/>
    <w:rsid w:val="00491502"/>
    <w:rsid w:val="00492A99"/>
    <w:rsid w:val="00495979"/>
    <w:rsid w:val="004A1BC5"/>
    <w:rsid w:val="004A3867"/>
    <w:rsid w:val="004A784E"/>
    <w:rsid w:val="004B46AF"/>
    <w:rsid w:val="004D1B56"/>
    <w:rsid w:val="004D2B46"/>
    <w:rsid w:val="004F0E39"/>
    <w:rsid w:val="004F1D4B"/>
    <w:rsid w:val="004F2B40"/>
    <w:rsid w:val="004F62BC"/>
    <w:rsid w:val="005116AB"/>
    <w:rsid w:val="005169E2"/>
    <w:rsid w:val="00523302"/>
    <w:rsid w:val="00524F5D"/>
    <w:rsid w:val="0052717E"/>
    <w:rsid w:val="00531D06"/>
    <w:rsid w:val="00532E22"/>
    <w:rsid w:val="00533BC2"/>
    <w:rsid w:val="00535F3E"/>
    <w:rsid w:val="00536D48"/>
    <w:rsid w:val="005411DA"/>
    <w:rsid w:val="005462BC"/>
    <w:rsid w:val="00561688"/>
    <w:rsid w:val="00561811"/>
    <w:rsid w:val="00561DEC"/>
    <w:rsid w:val="00564CDA"/>
    <w:rsid w:val="00570E7D"/>
    <w:rsid w:val="00571D52"/>
    <w:rsid w:val="00586976"/>
    <w:rsid w:val="00586D3A"/>
    <w:rsid w:val="00586D4A"/>
    <w:rsid w:val="0059125E"/>
    <w:rsid w:val="00594F6E"/>
    <w:rsid w:val="005A00F6"/>
    <w:rsid w:val="005A09E9"/>
    <w:rsid w:val="005B10E9"/>
    <w:rsid w:val="005B11B2"/>
    <w:rsid w:val="005B7B8F"/>
    <w:rsid w:val="005C0F4D"/>
    <w:rsid w:val="005C5CC8"/>
    <w:rsid w:val="005D2419"/>
    <w:rsid w:val="005D5919"/>
    <w:rsid w:val="005E0589"/>
    <w:rsid w:val="005E7AFA"/>
    <w:rsid w:val="005F0813"/>
    <w:rsid w:val="006029CF"/>
    <w:rsid w:val="00602BEB"/>
    <w:rsid w:val="00604403"/>
    <w:rsid w:val="00605BC9"/>
    <w:rsid w:val="00607911"/>
    <w:rsid w:val="00612789"/>
    <w:rsid w:val="00612A6E"/>
    <w:rsid w:val="00613D15"/>
    <w:rsid w:val="00615922"/>
    <w:rsid w:val="006174C8"/>
    <w:rsid w:val="006368B9"/>
    <w:rsid w:val="00640BD5"/>
    <w:rsid w:val="00641E6A"/>
    <w:rsid w:val="0064389D"/>
    <w:rsid w:val="00647F12"/>
    <w:rsid w:val="006608B2"/>
    <w:rsid w:val="00663453"/>
    <w:rsid w:val="00666CA5"/>
    <w:rsid w:val="00670676"/>
    <w:rsid w:val="0068169C"/>
    <w:rsid w:val="00681764"/>
    <w:rsid w:val="00682808"/>
    <w:rsid w:val="00683685"/>
    <w:rsid w:val="006903EE"/>
    <w:rsid w:val="00693CD9"/>
    <w:rsid w:val="00694232"/>
    <w:rsid w:val="00696A62"/>
    <w:rsid w:val="006A6EBB"/>
    <w:rsid w:val="006B5D0A"/>
    <w:rsid w:val="006D16FF"/>
    <w:rsid w:val="006D54D9"/>
    <w:rsid w:val="006E1FD5"/>
    <w:rsid w:val="006E6C17"/>
    <w:rsid w:val="006F03B8"/>
    <w:rsid w:val="006F6BE3"/>
    <w:rsid w:val="00700443"/>
    <w:rsid w:val="00706DB5"/>
    <w:rsid w:val="007205ED"/>
    <w:rsid w:val="0072685B"/>
    <w:rsid w:val="007435A4"/>
    <w:rsid w:val="00744EB0"/>
    <w:rsid w:val="00775278"/>
    <w:rsid w:val="00780FF6"/>
    <w:rsid w:val="0078213C"/>
    <w:rsid w:val="00786C6F"/>
    <w:rsid w:val="007A43D0"/>
    <w:rsid w:val="007B1E9A"/>
    <w:rsid w:val="007C3137"/>
    <w:rsid w:val="007C3A42"/>
    <w:rsid w:val="007C66DA"/>
    <w:rsid w:val="007C6775"/>
    <w:rsid w:val="007C6D68"/>
    <w:rsid w:val="007E3AA6"/>
    <w:rsid w:val="007E46C7"/>
    <w:rsid w:val="007F1BA6"/>
    <w:rsid w:val="007F662F"/>
    <w:rsid w:val="007F789F"/>
    <w:rsid w:val="00803082"/>
    <w:rsid w:val="00806370"/>
    <w:rsid w:val="0081360E"/>
    <w:rsid w:val="008138D5"/>
    <w:rsid w:val="008159AB"/>
    <w:rsid w:val="00830ABE"/>
    <w:rsid w:val="008344BE"/>
    <w:rsid w:val="00844382"/>
    <w:rsid w:val="00845C22"/>
    <w:rsid w:val="00854C22"/>
    <w:rsid w:val="00855007"/>
    <w:rsid w:val="008569BE"/>
    <w:rsid w:val="0086087C"/>
    <w:rsid w:val="00864BAD"/>
    <w:rsid w:val="00865402"/>
    <w:rsid w:val="00867A5A"/>
    <w:rsid w:val="008720C9"/>
    <w:rsid w:val="00876899"/>
    <w:rsid w:val="00876A9E"/>
    <w:rsid w:val="00890485"/>
    <w:rsid w:val="0089340E"/>
    <w:rsid w:val="00893E02"/>
    <w:rsid w:val="008943ED"/>
    <w:rsid w:val="008B076D"/>
    <w:rsid w:val="008B0E0F"/>
    <w:rsid w:val="008B13B6"/>
    <w:rsid w:val="008B41D8"/>
    <w:rsid w:val="008B5ADB"/>
    <w:rsid w:val="008D330E"/>
    <w:rsid w:val="008D599B"/>
    <w:rsid w:val="008D62A3"/>
    <w:rsid w:val="008E07EA"/>
    <w:rsid w:val="008E1CBC"/>
    <w:rsid w:val="008E2C3B"/>
    <w:rsid w:val="008E2F1F"/>
    <w:rsid w:val="008E4C74"/>
    <w:rsid w:val="008E6EBC"/>
    <w:rsid w:val="008F02F3"/>
    <w:rsid w:val="008F1BCA"/>
    <w:rsid w:val="008F71C7"/>
    <w:rsid w:val="00904ED6"/>
    <w:rsid w:val="009066FA"/>
    <w:rsid w:val="00907798"/>
    <w:rsid w:val="00907A8C"/>
    <w:rsid w:val="0091205F"/>
    <w:rsid w:val="00913878"/>
    <w:rsid w:val="00921D2B"/>
    <w:rsid w:val="0092269F"/>
    <w:rsid w:val="009243D3"/>
    <w:rsid w:val="00924CE0"/>
    <w:rsid w:val="0093156F"/>
    <w:rsid w:val="009440A7"/>
    <w:rsid w:val="00944612"/>
    <w:rsid w:val="00944D8F"/>
    <w:rsid w:val="009451A3"/>
    <w:rsid w:val="00953353"/>
    <w:rsid w:val="009642F9"/>
    <w:rsid w:val="00964F55"/>
    <w:rsid w:val="00970C1A"/>
    <w:rsid w:val="00973EC3"/>
    <w:rsid w:val="00974030"/>
    <w:rsid w:val="00977955"/>
    <w:rsid w:val="00980133"/>
    <w:rsid w:val="00985676"/>
    <w:rsid w:val="00990800"/>
    <w:rsid w:val="009A2103"/>
    <w:rsid w:val="009A7491"/>
    <w:rsid w:val="009C3DF7"/>
    <w:rsid w:val="009C7957"/>
    <w:rsid w:val="009D6C3B"/>
    <w:rsid w:val="009E086F"/>
    <w:rsid w:val="009E365C"/>
    <w:rsid w:val="009E407F"/>
    <w:rsid w:val="009F4530"/>
    <w:rsid w:val="009F481F"/>
    <w:rsid w:val="009F55EF"/>
    <w:rsid w:val="009F5E07"/>
    <w:rsid w:val="009F6D7B"/>
    <w:rsid w:val="00A02501"/>
    <w:rsid w:val="00A07990"/>
    <w:rsid w:val="00A2071F"/>
    <w:rsid w:val="00A24D82"/>
    <w:rsid w:val="00A24F94"/>
    <w:rsid w:val="00A37E83"/>
    <w:rsid w:val="00A43A78"/>
    <w:rsid w:val="00A509A6"/>
    <w:rsid w:val="00A51F7A"/>
    <w:rsid w:val="00A54EF3"/>
    <w:rsid w:val="00A550E0"/>
    <w:rsid w:val="00A75098"/>
    <w:rsid w:val="00A755A3"/>
    <w:rsid w:val="00A76725"/>
    <w:rsid w:val="00A92D79"/>
    <w:rsid w:val="00A9570A"/>
    <w:rsid w:val="00AB15F1"/>
    <w:rsid w:val="00AB5455"/>
    <w:rsid w:val="00AB59E2"/>
    <w:rsid w:val="00AB5C88"/>
    <w:rsid w:val="00AD5966"/>
    <w:rsid w:val="00AD7028"/>
    <w:rsid w:val="00AD74B4"/>
    <w:rsid w:val="00AD7F97"/>
    <w:rsid w:val="00AE5666"/>
    <w:rsid w:val="00AF2627"/>
    <w:rsid w:val="00AF3689"/>
    <w:rsid w:val="00AF4122"/>
    <w:rsid w:val="00B0013F"/>
    <w:rsid w:val="00B004E6"/>
    <w:rsid w:val="00B010E7"/>
    <w:rsid w:val="00B02DD9"/>
    <w:rsid w:val="00B123B6"/>
    <w:rsid w:val="00B15B25"/>
    <w:rsid w:val="00B16DE8"/>
    <w:rsid w:val="00B2140A"/>
    <w:rsid w:val="00B219B0"/>
    <w:rsid w:val="00B24427"/>
    <w:rsid w:val="00B25ADD"/>
    <w:rsid w:val="00B27C02"/>
    <w:rsid w:val="00B33DD0"/>
    <w:rsid w:val="00B4416B"/>
    <w:rsid w:val="00B46733"/>
    <w:rsid w:val="00B4737E"/>
    <w:rsid w:val="00B51A09"/>
    <w:rsid w:val="00B524E7"/>
    <w:rsid w:val="00B57F0D"/>
    <w:rsid w:val="00B606BB"/>
    <w:rsid w:val="00B61D8F"/>
    <w:rsid w:val="00B710AE"/>
    <w:rsid w:val="00B8010C"/>
    <w:rsid w:val="00B80362"/>
    <w:rsid w:val="00B90E9B"/>
    <w:rsid w:val="00BA284D"/>
    <w:rsid w:val="00BA52ED"/>
    <w:rsid w:val="00BA5512"/>
    <w:rsid w:val="00BA7352"/>
    <w:rsid w:val="00BB75E7"/>
    <w:rsid w:val="00BC3986"/>
    <w:rsid w:val="00BC4224"/>
    <w:rsid w:val="00BC46BA"/>
    <w:rsid w:val="00BC4FAA"/>
    <w:rsid w:val="00BC6E3C"/>
    <w:rsid w:val="00BC7D9A"/>
    <w:rsid w:val="00BE5261"/>
    <w:rsid w:val="00BF0426"/>
    <w:rsid w:val="00C04E78"/>
    <w:rsid w:val="00C06511"/>
    <w:rsid w:val="00C10BF0"/>
    <w:rsid w:val="00C11E63"/>
    <w:rsid w:val="00C25D12"/>
    <w:rsid w:val="00C34AED"/>
    <w:rsid w:val="00C35A08"/>
    <w:rsid w:val="00C50C74"/>
    <w:rsid w:val="00C55143"/>
    <w:rsid w:val="00C56400"/>
    <w:rsid w:val="00C61806"/>
    <w:rsid w:val="00C7177C"/>
    <w:rsid w:val="00C71DC5"/>
    <w:rsid w:val="00C734FE"/>
    <w:rsid w:val="00C75557"/>
    <w:rsid w:val="00C8129B"/>
    <w:rsid w:val="00C94B9B"/>
    <w:rsid w:val="00C96F99"/>
    <w:rsid w:val="00CA1804"/>
    <w:rsid w:val="00CA3CEC"/>
    <w:rsid w:val="00CA4FB2"/>
    <w:rsid w:val="00CA763E"/>
    <w:rsid w:val="00CB265A"/>
    <w:rsid w:val="00CB5231"/>
    <w:rsid w:val="00CC1626"/>
    <w:rsid w:val="00CC19C9"/>
    <w:rsid w:val="00CC3952"/>
    <w:rsid w:val="00CD3BED"/>
    <w:rsid w:val="00CD582B"/>
    <w:rsid w:val="00CE0165"/>
    <w:rsid w:val="00CE0D35"/>
    <w:rsid w:val="00CE6CA4"/>
    <w:rsid w:val="00CF658E"/>
    <w:rsid w:val="00CF7046"/>
    <w:rsid w:val="00D01061"/>
    <w:rsid w:val="00D022B1"/>
    <w:rsid w:val="00D2527F"/>
    <w:rsid w:val="00D262B0"/>
    <w:rsid w:val="00D50B6B"/>
    <w:rsid w:val="00D52F72"/>
    <w:rsid w:val="00D61D94"/>
    <w:rsid w:val="00D674B2"/>
    <w:rsid w:val="00D76F1C"/>
    <w:rsid w:val="00D77675"/>
    <w:rsid w:val="00D851C4"/>
    <w:rsid w:val="00D857B0"/>
    <w:rsid w:val="00D861ED"/>
    <w:rsid w:val="00D8709A"/>
    <w:rsid w:val="00D90A81"/>
    <w:rsid w:val="00D96270"/>
    <w:rsid w:val="00DA703E"/>
    <w:rsid w:val="00DB0741"/>
    <w:rsid w:val="00DB3DCC"/>
    <w:rsid w:val="00DB618A"/>
    <w:rsid w:val="00DC5868"/>
    <w:rsid w:val="00DC7251"/>
    <w:rsid w:val="00DD1305"/>
    <w:rsid w:val="00DE0013"/>
    <w:rsid w:val="00DE12D7"/>
    <w:rsid w:val="00DE16C3"/>
    <w:rsid w:val="00DE191E"/>
    <w:rsid w:val="00DF49DB"/>
    <w:rsid w:val="00DF7598"/>
    <w:rsid w:val="00E0032E"/>
    <w:rsid w:val="00E035BC"/>
    <w:rsid w:val="00E038CA"/>
    <w:rsid w:val="00E03C5B"/>
    <w:rsid w:val="00E0442E"/>
    <w:rsid w:val="00E06008"/>
    <w:rsid w:val="00E06054"/>
    <w:rsid w:val="00E07105"/>
    <w:rsid w:val="00E07BC5"/>
    <w:rsid w:val="00E21321"/>
    <w:rsid w:val="00E25AB9"/>
    <w:rsid w:val="00E25FCD"/>
    <w:rsid w:val="00E31767"/>
    <w:rsid w:val="00E31FBE"/>
    <w:rsid w:val="00E32591"/>
    <w:rsid w:val="00E36847"/>
    <w:rsid w:val="00E402CD"/>
    <w:rsid w:val="00E44883"/>
    <w:rsid w:val="00E5677C"/>
    <w:rsid w:val="00E61370"/>
    <w:rsid w:val="00E61DED"/>
    <w:rsid w:val="00E622C4"/>
    <w:rsid w:val="00E736F8"/>
    <w:rsid w:val="00E7646B"/>
    <w:rsid w:val="00E77252"/>
    <w:rsid w:val="00E77705"/>
    <w:rsid w:val="00E841A3"/>
    <w:rsid w:val="00E86C81"/>
    <w:rsid w:val="00E87442"/>
    <w:rsid w:val="00E91F04"/>
    <w:rsid w:val="00E952C5"/>
    <w:rsid w:val="00EA0B68"/>
    <w:rsid w:val="00EA10C1"/>
    <w:rsid w:val="00EA16FF"/>
    <w:rsid w:val="00EB0FD9"/>
    <w:rsid w:val="00EB7B0B"/>
    <w:rsid w:val="00EC278C"/>
    <w:rsid w:val="00ED0BBF"/>
    <w:rsid w:val="00ED6074"/>
    <w:rsid w:val="00ED6F58"/>
    <w:rsid w:val="00EF1F81"/>
    <w:rsid w:val="00F029F2"/>
    <w:rsid w:val="00F04574"/>
    <w:rsid w:val="00F07CD8"/>
    <w:rsid w:val="00F16C78"/>
    <w:rsid w:val="00F2045D"/>
    <w:rsid w:val="00F27E55"/>
    <w:rsid w:val="00F30918"/>
    <w:rsid w:val="00F363C7"/>
    <w:rsid w:val="00F4008D"/>
    <w:rsid w:val="00F566D7"/>
    <w:rsid w:val="00F615FE"/>
    <w:rsid w:val="00F719B2"/>
    <w:rsid w:val="00F80399"/>
    <w:rsid w:val="00F91DF6"/>
    <w:rsid w:val="00F923C4"/>
    <w:rsid w:val="00FA3415"/>
    <w:rsid w:val="00FA7680"/>
    <w:rsid w:val="00FB4761"/>
    <w:rsid w:val="00FD3520"/>
    <w:rsid w:val="00FD5581"/>
    <w:rsid w:val="00FF3ADB"/>
    <w:rsid w:val="00FF67FC"/>
    <w:rsid w:val="00FF7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94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58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87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09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0290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099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907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987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355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821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package" Target="embeddings/Microsoft_PowerPoint_Slide3.sldx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2.sldx"/><Relationship Id="rId20" Type="http://schemas.openxmlformats.org/officeDocument/2006/relationships/package" Target="embeddings/Microsoft_PowerPoint_Slide4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package" Target="embeddings/Microsoft_PowerPoint_Slide6.sldx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image" Target="http://www.lucasani.it/wp-content/uploads/2008/08/confturismo-11.jpg" TargetMode="External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package" Target="embeddings/Microsoft_PowerPoint_Slide5.sldx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e\Desktop\Andrea28062014\TRA%20Consulting\Confturismo\Trend%20Confturism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it-IT" sz="1800"/>
              <a:t>Indice</a:t>
            </a:r>
            <a:r>
              <a:rPr lang="it-IT" sz="1800" baseline="0"/>
              <a:t> di fiducia rispetto allo stesso mese dello scorso anno </a:t>
            </a:r>
          </a:p>
          <a:p>
            <a:pPr>
              <a:defRPr sz="1600"/>
            </a:pPr>
            <a:r>
              <a:rPr lang="it-IT" sz="1200" i="1"/>
              <a:t>(crescita</a:t>
            </a:r>
            <a:r>
              <a:rPr lang="it-IT" sz="1200" i="1" baseline="0"/>
              <a:t> in percentuale</a:t>
            </a:r>
            <a:r>
              <a:rPr lang="it-IT" sz="1200" i="1"/>
              <a:t>) </a:t>
            </a:r>
            <a:endParaRPr lang="it-IT" sz="1600" i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Foglio1!$Q$16:$Q$21</c:f>
              <c:strCache>
                <c:ptCount val="6"/>
                <c:pt idx="0">
                  <c:v>Maggio</c:v>
                </c:pt>
                <c:pt idx="1">
                  <c:v>Giugno</c:v>
                </c:pt>
                <c:pt idx="2">
                  <c:v>Luglio</c:v>
                </c:pt>
                <c:pt idx="3">
                  <c:v>Agosto</c:v>
                </c:pt>
                <c:pt idx="4">
                  <c:v>Settembre</c:v>
                </c:pt>
                <c:pt idx="5">
                  <c:v>Ottobre</c:v>
                </c:pt>
              </c:strCache>
            </c:strRef>
          </c:cat>
          <c:val>
            <c:numRef>
              <c:f>Foglio1!$W$16:$W$21</c:f>
              <c:numCache>
                <c:formatCode>0%</c:formatCode>
                <c:ptCount val="6"/>
                <c:pt idx="0">
                  <c:v>8.9285714285714177E-2</c:v>
                </c:pt>
                <c:pt idx="1">
                  <c:v>0.10526315789473696</c:v>
                </c:pt>
                <c:pt idx="2">
                  <c:v>0.1186440677966101</c:v>
                </c:pt>
                <c:pt idx="3">
                  <c:v>0.1206896551724137</c:v>
                </c:pt>
                <c:pt idx="4">
                  <c:v>0.125</c:v>
                </c:pt>
                <c:pt idx="5">
                  <c:v>9.0909090909090842E-2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98294400"/>
        <c:axId val="98300288"/>
      </c:barChart>
      <c:catAx>
        <c:axId val="98294400"/>
        <c:scaling>
          <c:orientation val="minMax"/>
        </c:scaling>
        <c:delete val="0"/>
        <c:axPos val="b"/>
        <c:majorTickMark val="none"/>
        <c:minorTickMark val="none"/>
        <c:tickLblPos val="low"/>
        <c:txPr>
          <a:bodyPr/>
          <a:lstStyle/>
          <a:p>
            <a:pPr>
              <a:defRPr sz="1400"/>
            </a:pPr>
            <a:endParaRPr lang="it-IT"/>
          </a:p>
        </c:txPr>
        <c:crossAx val="98300288"/>
        <c:crosses val="autoZero"/>
        <c:auto val="1"/>
        <c:lblAlgn val="ctr"/>
        <c:lblOffset val="100"/>
        <c:noMultiLvlLbl val="0"/>
      </c:catAx>
      <c:valAx>
        <c:axId val="98300288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200"/>
            </a:pPr>
            <a:endParaRPr lang="it-IT"/>
          </a:p>
        </c:txPr>
        <c:crossAx val="9829440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Garamond" pitchFamily="18" charset="0"/>
        </a:defRPr>
      </a:pPr>
      <a:endParaRPr lang="it-I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44EDF47-3455-4826-8AD6-A29360958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CONFCOMMERCIO</Company>
  <LinksUpToDate>false</LinksUpToDate>
  <CharactersWithSpaces>4862</CharactersWithSpaces>
  <SharedDoc>false</SharedDoc>
  <HLinks>
    <vt:vector size="6" baseType="variant">
      <vt:variant>
        <vt:i4>4784128</vt:i4>
      </vt:variant>
      <vt:variant>
        <vt:i4>-1</vt:i4>
      </vt:variant>
      <vt:variant>
        <vt:i4>1050</vt:i4>
      </vt:variant>
      <vt:variant>
        <vt:i4>1</vt:i4>
      </vt:variant>
      <vt:variant>
        <vt:lpwstr>http://www.lucasani.it/wp-content/uploads/2008/08/confturismo-11.jpg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2</cp:revision>
  <cp:lastPrinted>2015-10-30T12:09:00Z</cp:lastPrinted>
  <dcterms:created xsi:type="dcterms:W3CDTF">2015-11-06T08:16:00Z</dcterms:created>
  <dcterms:modified xsi:type="dcterms:W3CDTF">2015-11-06T08:16:00Z</dcterms:modified>
</cp:coreProperties>
</file>