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95709" w:rsidTr="00E95709">
        <w:trPr>
          <w:jc w:val="center"/>
        </w:trPr>
        <w:tc>
          <w:tcPr>
            <w:tcW w:w="4889" w:type="dxa"/>
            <w:vAlign w:val="center"/>
          </w:tcPr>
          <w:p w:rsidR="00E95709" w:rsidRDefault="00E95709">
            <w:pPr>
              <w:pStyle w:val="Titolo"/>
              <w:spacing w:line="360" w:lineRule="auto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F61C3E" wp14:editId="7DA661D1">
                  <wp:extent cx="2047875" cy="904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709" w:rsidRDefault="00E95709">
            <w:pPr>
              <w:pStyle w:val="Titolo"/>
              <w:spacing w:line="360" w:lineRule="auto"/>
              <w:rPr>
                <w:lang w:eastAsia="en-US"/>
              </w:rPr>
            </w:pPr>
          </w:p>
          <w:p w:rsidR="00E95709" w:rsidRDefault="00E95709">
            <w:pPr>
              <w:pStyle w:val="Titolo"/>
              <w:spacing w:line="360" w:lineRule="auto"/>
              <w:rPr>
                <w:lang w:eastAsia="en-US"/>
              </w:rPr>
            </w:pPr>
          </w:p>
        </w:tc>
        <w:tc>
          <w:tcPr>
            <w:tcW w:w="4889" w:type="dxa"/>
            <w:vAlign w:val="center"/>
            <w:hideMark/>
          </w:tcPr>
          <w:p w:rsidR="00E95709" w:rsidRDefault="00E95709">
            <w:pPr>
              <w:pStyle w:val="Titolo"/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039352" wp14:editId="6B37AF7E">
                  <wp:extent cx="2647950" cy="2009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29A" w:rsidRDefault="0025329A" w:rsidP="00CC0A3C">
      <w:pPr>
        <w:jc w:val="center"/>
        <w:rPr>
          <w:rFonts w:ascii="Verdana" w:hAnsi="Verdana"/>
          <w:b/>
          <w:smallCaps/>
          <w:sz w:val="28"/>
          <w:szCs w:val="28"/>
        </w:rPr>
      </w:pPr>
    </w:p>
    <w:p w:rsidR="005D34B0" w:rsidRDefault="005D34B0" w:rsidP="00CC0A3C">
      <w:pPr>
        <w:jc w:val="center"/>
        <w:rPr>
          <w:rFonts w:ascii="Verdana" w:hAnsi="Verdana"/>
          <w:b/>
          <w:smallCaps/>
          <w:color w:val="365F91" w:themeColor="accent1" w:themeShade="BF"/>
          <w:sz w:val="56"/>
          <w:szCs w:val="56"/>
        </w:rPr>
      </w:pPr>
    </w:p>
    <w:p w:rsidR="005D34B0" w:rsidRDefault="005D34B0" w:rsidP="00CC0A3C">
      <w:pPr>
        <w:jc w:val="center"/>
        <w:rPr>
          <w:rFonts w:ascii="Verdana" w:hAnsi="Verdana"/>
          <w:b/>
          <w:smallCaps/>
          <w:color w:val="365F91" w:themeColor="accent1" w:themeShade="BF"/>
          <w:sz w:val="56"/>
          <w:szCs w:val="56"/>
        </w:rPr>
      </w:pPr>
    </w:p>
    <w:p w:rsidR="008C332C" w:rsidRPr="006316CF" w:rsidRDefault="00824ECA" w:rsidP="006316CF">
      <w:pPr>
        <w:pStyle w:val="Titolo"/>
        <w:spacing w:line="360" w:lineRule="auto"/>
        <w:ind w:right="-1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>Il peso dei settori nell’economia</w:t>
      </w:r>
    </w:p>
    <w:p w:rsidR="008C332C" w:rsidRPr="00CC0A3C" w:rsidRDefault="008C332C" w:rsidP="008C332C">
      <w:pPr>
        <w:jc w:val="both"/>
        <w:rPr>
          <w:rFonts w:ascii="Verdana" w:hAnsi="Verdana"/>
        </w:rPr>
      </w:pPr>
    </w:p>
    <w:p w:rsidR="00F82004" w:rsidRPr="00CC0A3C" w:rsidRDefault="00F82004" w:rsidP="008C332C">
      <w:pPr>
        <w:jc w:val="both"/>
        <w:rPr>
          <w:rFonts w:ascii="Verdana" w:hAnsi="Verdana"/>
        </w:rPr>
      </w:pPr>
    </w:p>
    <w:p w:rsidR="00F82004" w:rsidRDefault="00F82004" w:rsidP="008C332C">
      <w:pPr>
        <w:jc w:val="both"/>
        <w:rPr>
          <w:rFonts w:ascii="Verdana" w:hAnsi="Verdana"/>
        </w:rPr>
      </w:pPr>
      <w:bookmarkStart w:id="0" w:name="_GoBack"/>
      <w:bookmarkEnd w:id="0"/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Pr="00CC0A3C" w:rsidRDefault="0025329A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A35120" w:rsidRDefault="00A35120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50600" w:rsidRPr="00843BE5" w:rsidRDefault="00824ECA" w:rsidP="00650600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lastRenderedPageBreak/>
        <w:t>Il decennio appena trascorso, ha visto accentuarsi alcune tendenze di lungo periodo nella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composizione settoriale del prodotto interno e dell’occupazione</w:t>
      </w:r>
      <w:r w:rsidR="00650600">
        <w:rPr>
          <w:rFonts w:ascii="Verdana" w:eastAsiaTheme="minorHAnsi" w:hAnsi="Verdana" w:cs="TrebuchetMS"/>
          <w:sz w:val="22"/>
          <w:szCs w:val="22"/>
          <w:lang w:eastAsia="en-US"/>
        </w:rPr>
        <w:t xml:space="preserve"> confermando </w:t>
      </w:r>
      <w:r w:rsidR="00650600" w:rsidRPr="00650600">
        <w:rPr>
          <w:rFonts w:ascii="Verdana" w:eastAsiaTheme="minorHAnsi" w:hAnsi="Verdana" w:cs="TrebuchetMS"/>
          <w:sz w:val="22"/>
          <w:szCs w:val="22"/>
          <w:lang w:eastAsia="en-US"/>
        </w:rPr>
        <w:t xml:space="preserve">l’onda lunga della progressiva terziarizzazione dell’economia. </w:t>
      </w:r>
    </w:p>
    <w:p w:rsidR="00824ECA" w:rsidRDefault="00824ECA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Il peso dell’agricoltura si è gradualmente ridotto portandosi nel 201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2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al 2% in termini di</w:t>
      </w:r>
      <w:r w:rsidR="00843BE5"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valore aggiunto e al 5% in termini di input di lavoro, così come anche per l’industria si è registrato</w:t>
      </w:r>
      <w:r w:rsidR="00843BE5"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il ridimensionarsi del contributo alla formazione del prodotto, con una quota ormai inferiore al</w:t>
      </w:r>
      <w:r w:rsidR="00843BE5"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25%, e un’incidenza, sotto il profilo occupazionale, di circa il 26%, 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quasi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3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punti in meno rispetto</w:t>
      </w:r>
      <w:r w:rsidR="00843BE5"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al 200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2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. Per contro, l’area terziaria si è ulteriormente ampliata, portandosi a 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quasi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il 7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4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% come</w:t>
      </w:r>
      <w:r w:rsidR="00843BE5"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valore aggiunto e a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d oltre il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69% come occupazione, con un miglioramento rispetto al 200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2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="00EA4458">
        <w:rPr>
          <w:rFonts w:ascii="Verdana" w:eastAsiaTheme="minorHAnsi" w:hAnsi="Verdana" w:cs="TrebuchetMS"/>
          <w:sz w:val="22"/>
          <w:szCs w:val="22"/>
          <w:lang w:eastAsia="en-US"/>
        </w:rPr>
        <w:t>di circa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4 punti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in entrambi i casi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(</w:t>
      </w:r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v. </w:t>
      </w:r>
      <w:proofErr w:type="spellStart"/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tab</w:t>
      </w:r>
      <w:proofErr w:type="spellEnd"/>
      <w:r w:rsidR="00843BE5">
        <w:rPr>
          <w:rFonts w:ascii="Verdana" w:eastAsiaTheme="minorHAnsi" w:hAnsi="Verdana" w:cs="TrebuchetMS"/>
          <w:sz w:val="22"/>
          <w:szCs w:val="22"/>
          <w:lang w:eastAsia="en-US"/>
        </w:rPr>
        <w:t>.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).</w:t>
      </w:r>
    </w:p>
    <w:p w:rsidR="00843BE5" w:rsidRDefault="00843BE5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</w:p>
    <w:p w:rsidR="00843BE5" w:rsidRDefault="00843BE5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0"/>
          <w:szCs w:val="20"/>
          <w:lang w:eastAsia="en-US"/>
        </w:rPr>
      </w:pPr>
    </w:p>
    <w:tbl>
      <w:tblPr>
        <w:tblW w:w="8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9"/>
        <w:gridCol w:w="683"/>
        <w:gridCol w:w="733"/>
        <w:gridCol w:w="683"/>
        <w:gridCol w:w="733"/>
        <w:gridCol w:w="800"/>
        <w:gridCol w:w="780"/>
      </w:tblGrid>
      <w:tr w:rsidR="00843BE5" w:rsidRPr="00843BE5" w:rsidTr="00843BE5">
        <w:trPr>
          <w:trHeight w:val="300"/>
        </w:trPr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b/>
                <w:bCs/>
                <w:color w:val="1F497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1F497D"/>
                <w:sz w:val="20"/>
                <w:szCs w:val="20"/>
              </w:rPr>
              <w:t>IL RUOLO DEI SETTORI PRODUTTIVI: OCCUPAZIONE E VALORE AGGIUNTO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1F497D"/>
                <w:sz w:val="20"/>
                <w:szCs w:val="20"/>
              </w:rPr>
              <w:t>composizione percentuale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center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1992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center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2002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center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2012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proofErr w:type="spellStart"/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v.a.(*)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proofErr w:type="spellStart"/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v.a.(*)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proofErr w:type="spellStart"/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4F81BD"/>
                <w:sz w:val="20"/>
                <w:szCs w:val="20"/>
              </w:rPr>
              <w:t>v.a.(*)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Agricoltura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Industria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24,2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Servizi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(1+2)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843BE5" w:rsidRPr="0022530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225305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(1) </w:t>
            </w:r>
            <w:r w:rsidR="00843BE5" w:rsidRPr="00225305">
              <w:rPr>
                <w:rFonts w:ascii="Trebuchet MS" w:hAnsi="Trebuchet MS"/>
                <w:b/>
                <w:color w:val="000000"/>
                <w:sz w:val="20"/>
                <w:szCs w:val="20"/>
              </w:rPr>
              <w:t>Area Confcommercio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225305">
              <w:rPr>
                <w:rFonts w:ascii="Trebuchet MS" w:hAnsi="Trebuchet MS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225305">
              <w:rPr>
                <w:rFonts w:ascii="Trebuchet MS" w:hAnsi="Trebuchet MS"/>
                <w:b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E5" w:rsidRPr="00225305" w:rsidRDefault="0022530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42,5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 xml:space="preserve"> - Commercio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10,9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 xml:space="preserve"> - Trasporti e logistica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5,6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 xml:space="preserve"> - Turismo, tempo libero e comunicazioni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12,0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 xml:space="preserve"> - Altri servizi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14,0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225305" w:rsidP="0022530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225305">
              <w:rPr>
                <w:rFonts w:ascii="Trebuchet MS" w:hAnsi="Trebuchet MS"/>
                <w:b/>
                <w:color w:val="000000"/>
                <w:sz w:val="20"/>
                <w:szCs w:val="20"/>
              </w:rPr>
              <w:t>(2)</w:t>
            </w:r>
            <w:r w:rsidR="00843BE5"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Altre attività di servizi (compresa P.A.)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color w:val="000000"/>
                <w:sz w:val="20"/>
                <w:szCs w:val="20"/>
              </w:rPr>
              <w:t>31,2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Totale economia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43BE5" w:rsidRPr="00843BE5" w:rsidTr="00843BE5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43BE5">
              <w:rPr>
                <w:rFonts w:ascii="Trebuchet MS" w:hAnsi="Trebuchet MS"/>
                <w:color w:val="000000"/>
                <w:sz w:val="20"/>
                <w:szCs w:val="20"/>
              </w:rPr>
              <w:t>(*) valori correnti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25305" w:rsidRPr="00225305" w:rsidTr="00843BE5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05" w:rsidRPr="00225305" w:rsidRDefault="00225305" w:rsidP="00843BE5">
            <w:pPr>
              <w:rPr>
                <w:rFonts w:ascii="Trebuchet MS" w:hAnsi="Trebuchet MS"/>
                <w:iCs/>
                <w:color w:val="000000"/>
                <w:sz w:val="20"/>
                <w:szCs w:val="20"/>
              </w:rPr>
            </w:pPr>
            <w:proofErr w:type="spellStart"/>
            <w:r w:rsidRPr="00225305">
              <w:rPr>
                <w:rFonts w:ascii="Trebuchet MS" w:hAnsi="Trebuchet MS"/>
                <w:iCs/>
                <w:color w:val="000000"/>
                <w:sz w:val="20"/>
                <w:szCs w:val="20"/>
              </w:rPr>
              <w:t>Ula</w:t>
            </w:r>
            <w:proofErr w:type="spellEnd"/>
            <w:r w:rsidRPr="00225305">
              <w:rPr>
                <w:rFonts w:ascii="Trebuchet MS" w:hAnsi="Trebuchet MS"/>
                <w:iCs/>
                <w:color w:val="000000"/>
                <w:sz w:val="20"/>
                <w:szCs w:val="20"/>
              </w:rPr>
              <w:t>: Unità di lavoro standard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05" w:rsidRPr="00225305" w:rsidRDefault="0022530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05" w:rsidRPr="00225305" w:rsidRDefault="0022530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05" w:rsidRPr="00225305" w:rsidRDefault="0022530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05" w:rsidRPr="00225305" w:rsidRDefault="0022530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843BE5" w:rsidRPr="00843BE5" w:rsidTr="00843BE5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i/>
                <w:iCs/>
                <w:color w:val="000000"/>
                <w:sz w:val="16"/>
                <w:szCs w:val="16"/>
              </w:rPr>
            </w:pPr>
            <w:r w:rsidRPr="00843BE5">
              <w:rPr>
                <w:rFonts w:ascii="Trebuchet MS" w:hAnsi="Trebuchet MS"/>
                <w:i/>
                <w:iCs/>
                <w:color w:val="000000"/>
                <w:sz w:val="16"/>
                <w:szCs w:val="16"/>
              </w:rPr>
              <w:t>Fonte: elaborazioni Ufficio Studi Confcommercio su dati Istat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E5" w:rsidRPr="00843BE5" w:rsidRDefault="00843BE5" w:rsidP="00843BE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843BE5" w:rsidRDefault="00843BE5" w:rsidP="00843BE5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50600" w:rsidRDefault="00650600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</w:p>
    <w:p w:rsidR="00843BE5" w:rsidRPr="00843BE5" w:rsidRDefault="00843BE5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Il settore dei servizi nel suo complesso, comprensivo cioè anche della attività della Pubblica</w:t>
      </w:r>
      <w:r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amministrazione, conferma</w:t>
      </w:r>
      <w:r w:rsidR="00650600">
        <w:rPr>
          <w:rFonts w:ascii="Verdana" w:eastAsiaTheme="minorHAnsi" w:hAnsi="Verdana" w:cs="TrebuchetMS"/>
          <w:sz w:val="22"/>
          <w:szCs w:val="22"/>
          <w:lang w:eastAsia="en-US"/>
        </w:rPr>
        <w:t xml:space="preserve"> dunque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il suo insostituibile ruolo anticiclico </w:t>
      </w:r>
      <w:r w:rsidR="00650600">
        <w:rPr>
          <w:rFonts w:ascii="Verdana" w:eastAsiaTheme="minorHAnsi" w:hAnsi="Verdana" w:cs="TrebuchetMS"/>
          <w:sz w:val="22"/>
          <w:szCs w:val="22"/>
          <w:lang w:eastAsia="en-US"/>
        </w:rPr>
        <w:t xml:space="preserve">assorbendo le unità di lavoro espulse dagli altri settori e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riuscendo</w:t>
      </w:r>
      <w:r w:rsidR="00650600">
        <w:rPr>
          <w:rFonts w:ascii="Verdana" w:eastAsiaTheme="minorHAnsi" w:hAnsi="Verdana" w:cs="TrebuchetMS"/>
          <w:sz w:val="22"/>
          <w:szCs w:val="22"/>
          <w:lang w:eastAsia="en-US"/>
        </w:rPr>
        <w:t xml:space="preserve"> pertanto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a proporsi</w:t>
      </w:r>
      <w:r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come una sorta di ammortizzatore produttivo anche nelle fasi più severe del ciclo economico</w:t>
      </w:r>
      <w:r>
        <w:rPr>
          <w:rFonts w:ascii="Verdana" w:eastAsiaTheme="minorHAnsi" w:hAnsi="Verdana" w:cs="TrebuchetMS"/>
          <w:sz w:val="22"/>
          <w:szCs w:val="22"/>
          <w:lang w:eastAsia="en-US"/>
        </w:rPr>
        <w:t xml:space="preserve">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negativo, come quelle sperimentate nella recessione del biennio 2008-09, quando si è registrata una contrazione complessiva del Pil di quasi sette punti percentuali.</w:t>
      </w:r>
    </w:p>
    <w:p w:rsidR="00843BE5" w:rsidRPr="00843BE5" w:rsidRDefault="00843BE5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Limitandosi ai comparti delle attività </w:t>
      </w:r>
      <w:r w:rsidRPr="00843BE5">
        <w:rPr>
          <w:rFonts w:ascii="Verdana" w:eastAsiaTheme="minorHAnsi" w:hAnsi="Verdana" w:cs="TrebuchetMS-Italic"/>
          <w:i/>
          <w:iCs/>
          <w:sz w:val="22"/>
          <w:szCs w:val="22"/>
          <w:lang w:eastAsia="en-US"/>
        </w:rPr>
        <w:t xml:space="preserve">market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dei servizi, l’Area Confcommercio è riuscita a non perdere posizioni per effetto della crisi, m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>antenendo la stessa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la quota di valore aggiunto del 200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>2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e 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 xml:space="preserve">migliorando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di 4 punti quella dell’occupazione.</w:t>
      </w:r>
    </w:p>
    <w:p w:rsidR="00843BE5" w:rsidRPr="00843BE5" w:rsidRDefault="00843BE5" w:rsidP="00843BE5">
      <w:pPr>
        <w:autoSpaceDE w:val="0"/>
        <w:autoSpaceDN w:val="0"/>
        <w:adjustRightInd w:val="0"/>
        <w:jc w:val="both"/>
        <w:rPr>
          <w:rFonts w:ascii="Verdana" w:eastAsiaTheme="minorHAnsi" w:hAnsi="Verdana" w:cs="TrebuchetMS"/>
          <w:sz w:val="22"/>
          <w:szCs w:val="22"/>
          <w:lang w:eastAsia="en-US"/>
        </w:rPr>
      </w:pP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All’interno di questa variegata aggregazione di attività terziarie, i miglioramenti più significativi sotto il profilo del prodotto e dell’occupazione si sono registrati negli Altri servizi (soprattutto attività immobiliari e altri servizi alle imprese), seguiti da </w:t>
      </w:r>
      <w:r w:rsidR="00225305"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trasporti e logistica 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 xml:space="preserve">e da 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attività del turismo, tempo libero e comunicazioni, che hanno consolidato a fine decenni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>o le posizioni occupate nel 2002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.</w:t>
      </w:r>
    </w:p>
    <w:p w:rsidR="00843BE5" w:rsidRPr="00843BE5" w:rsidRDefault="00843BE5" w:rsidP="0065060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>Il commercio, invece, ha risentito in misura più incisiva delle conseguenze della crisi, con una contrazione di 1,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>1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 punti della quota di valore aggiunto, sceso al 10,9% rispetto al 200</w:t>
      </w:r>
      <w:r w:rsidR="00225305">
        <w:rPr>
          <w:rFonts w:ascii="Verdana" w:eastAsiaTheme="minorHAnsi" w:hAnsi="Verdana" w:cs="TrebuchetMS"/>
          <w:sz w:val="22"/>
          <w:szCs w:val="22"/>
          <w:lang w:eastAsia="en-US"/>
        </w:rPr>
        <w:t>2</w:t>
      </w:r>
      <w:r w:rsidRPr="00843BE5">
        <w:rPr>
          <w:rFonts w:ascii="Verdana" w:eastAsiaTheme="minorHAnsi" w:hAnsi="Verdana" w:cs="TrebuchetMS"/>
          <w:sz w:val="22"/>
          <w:szCs w:val="22"/>
          <w:lang w:eastAsia="en-US"/>
        </w:rPr>
        <w:t xml:space="preserve">, ed una sostanziale tenuta dei livelli occupazionali poco al di sopra del 14%. </w:t>
      </w:r>
    </w:p>
    <w:sectPr w:rsidR="00843BE5" w:rsidRPr="00843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B6E"/>
    <w:multiLevelType w:val="hybridMultilevel"/>
    <w:tmpl w:val="E956201C"/>
    <w:lvl w:ilvl="0" w:tplc="2D269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C"/>
    <w:rsid w:val="00071BC9"/>
    <w:rsid w:val="001078FC"/>
    <w:rsid w:val="001270A2"/>
    <w:rsid w:val="001B6277"/>
    <w:rsid w:val="00223325"/>
    <w:rsid w:val="00225305"/>
    <w:rsid w:val="0025329A"/>
    <w:rsid w:val="0028060D"/>
    <w:rsid w:val="002C470D"/>
    <w:rsid w:val="002D5482"/>
    <w:rsid w:val="003B0076"/>
    <w:rsid w:val="003B7B6D"/>
    <w:rsid w:val="004404C6"/>
    <w:rsid w:val="0048486A"/>
    <w:rsid w:val="0049695F"/>
    <w:rsid w:val="004B4E0A"/>
    <w:rsid w:val="005D34B0"/>
    <w:rsid w:val="006316CF"/>
    <w:rsid w:val="00650600"/>
    <w:rsid w:val="007171FB"/>
    <w:rsid w:val="00824ECA"/>
    <w:rsid w:val="00843BE5"/>
    <w:rsid w:val="00885813"/>
    <w:rsid w:val="008C332C"/>
    <w:rsid w:val="008C733C"/>
    <w:rsid w:val="00980515"/>
    <w:rsid w:val="00981424"/>
    <w:rsid w:val="009846E8"/>
    <w:rsid w:val="009C2696"/>
    <w:rsid w:val="00A35120"/>
    <w:rsid w:val="00C61C10"/>
    <w:rsid w:val="00CC0A3C"/>
    <w:rsid w:val="00CD5945"/>
    <w:rsid w:val="00D13C4C"/>
    <w:rsid w:val="00E37F01"/>
    <w:rsid w:val="00E571FA"/>
    <w:rsid w:val="00E95709"/>
    <w:rsid w:val="00EA4458"/>
    <w:rsid w:val="00F10674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B7B6D"/>
    <w:pPr>
      <w:ind w:left="1418" w:right="1416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F1067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95709"/>
    <w:pPr>
      <w:jc w:val="center"/>
    </w:pPr>
    <w:rPr>
      <w:rFonts w:ascii="Verdana" w:hAnsi="Verdana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E95709"/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table" w:styleId="Grigliatabella">
    <w:name w:val="Table Grid"/>
    <w:basedOn w:val="Tabellanormale"/>
    <w:uiPriority w:val="59"/>
    <w:rsid w:val="00E9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7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B7B6D"/>
    <w:pPr>
      <w:ind w:left="1418" w:right="1416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F1067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95709"/>
    <w:pPr>
      <w:jc w:val="center"/>
    </w:pPr>
    <w:rPr>
      <w:rFonts w:ascii="Verdana" w:hAnsi="Verdana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E95709"/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table" w:styleId="Grigliatabella">
    <w:name w:val="Table Grid"/>
    <w:basedOn w:val="Tabellanormale"/>
    <w:uiPriority w:val="59"/>
    <w:rsid w:val="00E9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7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EB5E6E-190B-4562-A412-25CAEA44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Ragaini</dc:creator>
  <cp:lastModifiedBy>moretti</cp:lastModifiedBy>
  <cp:revision>6</cp:revision>
  <cp:lastPrinted>2013-05-07T13:09:00Z</cp:lastPrinted>
  <dcterms:created xsi:type="dcterms:W3CDTF">2013-05-07T12:37:00Z</dcterms:created>
  <dcterms:modified xsi:type="dcterms:W3CDTF">2013-05-13T11:42:00Z</dcterms:modified>
</cp:coreProperties>
</file>