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A24D82" w:rsidRPr="00A24F94">
        <w:rPr>
          <w:rFonts w:ascii="Verdana" w:hAnsi="Verdana"/>
          <w:sz w:val="20"/>
        </w:rPr>
        <w:t xml:space="preserve">Roma, </w:t>
      </w:r>
      <w:r w:rsidR="00224CFF">
        <w:rPr>
          <w:rFonts w:ascii="Verdana" w:hAnsi="Verdana"/>
          <w:sz w:val="20"/>
        </w:rPr>
        <w:t>5</w:t>
      </w:r>
      <w:r w:rsidR="00F35008">
        <w:rPr>
          <w:rFonts w:ascii="Verdana" w:hAnsi="Verdana"/>
          <w:sz w:val="20"/>
        </w:rPr>
        <w:t xml:space="preserve"> f</w:t>
      </w:r>
      <w:r w:rsidR="00C31648">
        <w:rPr>
          <w:rFonts w:ascii="Verdana" w:hAnsi="Verdana"/>
          <w:sz w:val="20"/>
        </w:rPr>
        <w:t>ebbraio 2016</w:t>
      </w:r>
    </w:p>
    <w:p w:rsidR="00AB15F1" w:rsidRDefault="00057EA4" w:rsidP="00057EA4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</w:p>
    <w:p w:rsidR="00495979" w:rsidRPr="00B17079" w:rsidRDefault="00495979" w:rsidP="00BC46BA">
      <w:pPr>
        <w:ind w:right="281"/>
        <w:jc w:val="both"/>
        <w:rPr>
          <w:rFonts w:ascii="Verdana" w:hAnsi="Verdana" w:cs="Tahoma"/>
          <w:b/>
          <w:sz w:val="18"/>
          <w:szCs w:val="18"/>
        </w:rPr>
      </w:pPr>
      <w:bookmarkStart w:id="0" w:name="_GoBack"/>
      <w:bookmarkEnd w:id="0"/>
    </w:p>
    <w:p w:rsidR="00404399" w:rsidRPr="00B17079" w:rsidRDefault="00404399" w:rsidP="00BC46BA">
      <w:pPr>
        <w:ind w:right="281"/>
        <w:jc w:val="both"/>
        <w:rPr>
          <w:rFonts w:ascii="Verdana" w:hAnsi="Verdana" w:cs="Tahoma"/>
          <w:b/>
          <w:sz w:val="18"/>
          <w:szCs w:val="18"/>
        </w:rPr>
      </w:pPr>
    </w:p>
    <w:p w:rsidR="005C5CC8" w:rsidRPr="00B17079" w:rsidRDefault="005C5CC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647F12" w:rsidRPr="00B17079" w:rsidRDefault="00484AA2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r w:rsidRPr="00B17079">
        <w:rPr>
          <w:rFonts w:ascii="Verdana" w:hAnsi="Verdana" w:cs="Tahoma"/>
          <w:b/>
          <w:sz w:val="18"/>
          <w:szCs w:val="18"/>
        </w:rPr>
        <w:t>LA RILEVAZIONE IN DETTAGLIO</w:t>
      </w:r>
    </w:p>
    <w:p w:rsidR="00855007" w:rsidRPr="00B17079" w:rsidRDefault="0085500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5271C" w:rsidRPr="00B17079" w:rsidRDefault="00484AA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Piepoli, mostra </w:t>
      </w:r>
      <w:r w:rsidR="00CC19C9" w:rsidRPr="00B17079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2B7271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andamento stabile</w:t>
      </w:r>
      <w:r w:rsidR="007703B1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B17079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B17079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B17079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B17079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2B7271" w:rsidRPr="00B1707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A0B68" w:rsidRPr="00B17079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B17079" w:rsidRDefault="00EA0B68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8138D5" w:rsidRPr="00B17079" w:rsidRDefault="008138D5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B17079" w:rsidRDefault="00E21AF9" w:rsidP="003C07DB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6" type="#_x0000_t75" style="width:390pt;height:270pt" o:ole="">
            <v:imagedata r:id="rId12" o:title=""/>
          </v:shape>
          <o:OLEObject Type="Embed" ProgID="PowerPoint.Slide.12" ShapeID="_x0000_i1026" DrawAspect="Content" ObjectID="_1516106991" r:id="rId13"/>
        </w:object>
      </w:r>
    </w:p>
    <w:p w:rsidR="00EA0B68" w:rsidRPr="00B17079" w:rsidRDefault="00EA0B68" w:rsidP="0024350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EA0B68" w:rsidRPr="00B17079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B17079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E086F" w:rsidRPr="00B17079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D857B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E21AF9" w:rsidRPr="00B17079">
        <w:rPr>
          <w:rFonts w:ascii="Verdana" w:eastAsia="Calibri" w:hAnsi="Verdana" w:cs="Arial"/>
          <w:sz w:val="18"/>
          <w:szCs w:val="18"/>
          <w:lang w:eastAsia="en-US"/>
        </w:rPr>
        <w:t>gennaio</w:t>
      </w:r>
      <w:r w:rsidR="008138D5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B17079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7703B1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B17079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7703B1" w:rsidRPr="00B17079">
        <w:rPr>
          <w:rFonts w:ascii="Verdana" w:eastAsia="Calibri" w:hAnsi="Verdana" w:cs="Arial"/>
          <w:sz w:val="18"/>
          <w:szCs w:val="18"/>
          <w:lang w:eastAsia="en-US"/>
        </w:rPr>
        <w:t>59</w:t>
      </w:r>
      <w:r w:rsidR="008138D5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>due punti in più rispetto a gennaio 2015</w:t>
      </w:r>
      <w:r w:rsidR="002B7271" w:rsidRPr="00B1707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2B7271" w:rsidRPr="00B17079" w:rsidRDefault="002B727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Il 2016 </w:t>
      </w:r>
      <w:r w:rsidR="007806DC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ha </w:t>
      </w:r>
      <w:r w:rsidR="008D2F49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registrato </w:t>
      </w:r>
      <w:r w:rsidR="007806DC" w:rsidRPr="00B17079">
        <w:rPr>
          <w:rFonts w:ascii="Verdana" w:eastAsia="Calibri" w:hAnsi="Verdana" w:cs="Arial"/>
          <w:sz w:val="18"/>
          <w:szCs w:val="18"/>
          <w:lang w:eastAsia="en-US"/>
        </w:rPr>
        <w:t>una partenza positiva per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l’indice Confturismo-Confcommercio e Istituto Piepoli.</w:t>
      </w:r>
    </w:p>
    <w:p w:rsidR="00FE10BE" w:rsidRPr="00B17079" w:rsidRDefault="00E21AF9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L’anno </w:t>
      </w:r>
      <w:r w:rsidR="002B7271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2016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comincia dunque con dei valori positivi</w:t>
      </w:r>
      <w:r w:rsidR="002B7271" w:rsidRPr="00B17079">
        <w:rPr>
          <w:rFonts w:ascii="Verdana" w:eastAsia="Calibri" w:hAnsi="Verdana" w:cs="Arial"/>
          <w:sz w:val="18"/>
          <w:szCs w:val="18"/>
          <w:lang w:eastAsia="en-US"/>
        </w:rPr>
        <w:t>. Questo miglioramento è dovuto anche alla maggiore fiducia che si respira in Italia.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</w:p>
    <w:p w:rsidR="002B7271" w:rsidRPr="00B17079" w:rsidRDefault="00E21AF9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Si denota tuttavia che</w:t>
      </w:r>
      <w:r w:rsidR="008D2F49" w:rsidRPr="00B17079">
        <w:rPr>
          <w:rFonts w:ascii="Verdana" w:eastAsia="Calibri" w:hAnsi="Verdana" w:cs="Arial"/>
          <w:sz w:val="18"/>
          <w:szCs w:val="18"/>
          <w:lang w:eastAsia="en-US"/>
        </w:rPr>
        <w:t>,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dopo gli attentati di Parigi del Novembre 2015</w:t>
      </w:r>
      <w:r w:rsidR="008D2F49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e la fine dell’EXPO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, la crescita dell’indice è </w:t>
      </w:r>
      <w:r w:rsidR="008D2F49" w:rsidRPr="00B17079">
        <w:rPr>
          <w:rFonts w:ascii="Verdana" w:eastAsia="Calibri" w:hAnsi="Verdana" w:cs="Arial"/>
          <w:sz w:val="18"/>
          <w:szCs w:val="18"/>
          <w:lang w:eastAsia="en-US"/>
        </w:rPr>
        <w:t>un po’ meno intensa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FE10BE" w:rsidRPr="00B17079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Gli ultimi attacchi terroristici – in particolare quelli di Istanbul e Giacarta – hanno avuto un impatto negativo sull’indice.</w:t>
      </w:r>
    </w:p>
    <w:p w:rsidR="00FE10BE" w:rsidRPr="00B17079" w:rsidRDefault="00E652B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Quasi un I</w:t>
      </w:r>
      <w:r w:rsidR="00FE10BE" w:rsidRPr="00B17079">
        <w:rPr>
          <w:rFonts w:ascii="Verdana" w:eastAsia="Calibri" w:hAnsi="Verdana" w:cs="Arial"/>
          <w:sz w:val="18"/>
          <w:szCs w:val="18"/>
          <w:lang w:eastAsia="en-US"/>
        </w:rPr>
        <w:t>taliano su tre ha paura di recarsi all’estero, in crescita rispetto a Dicembre 2015.</w:t>
      </w:r>
    </w:p>
    <w:p w:rsidR="00155F83" w:rsidRPr="00B17079" w:rsidRDefault="00FE10BE" w:rsidP="00155F8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noProof/>
          <w:sz w:val="18"/>
          <w:szCs w:val="18"/>
        </w:rPr>
        <w:lastRenderedPageBreak/>
        <w:drawing>
          <wp:inline distT="0" distB="0" distL="0" distR="0" wp14:anchorId="467EBD82" wp14:editId="073911B3">
            <wp:extent cx="4953000" cy="3429000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F83" w:rsidRPr="00B17079" w:rsidRDefault="00155F83" w:rsidP="00155F8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155F83" w:rsidRPr="00B17079" w:rsidRDefault="00155F83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B17079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B17079" w:rsidRDefault="00FE10BE" w:rsidP="00FE10B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Gli attentati hanno avuto un effetto diretto sul turismo. Il settore è infatti estremamente sensibile alle paure e agli shock esterni.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D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estinazioni quali la Turchia, l’Egitto e la Francia, sono quelle 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più toccate, anche se la Francia resta nelle “top </w:t>
      </w:r>
      <w:proofErr w:type="spellStart"/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>five</w:t>
      </w:r>
      <w:proofErr w:type="spellEnd"/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>”  delle mete europee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AC2D1C" w:rsidRPr="00B17079" w:rsidRDefault="00AC2D1C" w:rsidP="00AC2D1C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I</w:t>
      </w:r>
      <w:r w:rsidR="00FE10BE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l timore di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trasferimenti aerei</w:t>
      </w:r>
      <w:r w:rsidR="00FE10BE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rimane molto elevato.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Oltre un Italiano su quattro ha paura di prendere un volo per recarsi nella propria destinazione di viaggio.</w:t>
      </w:r>
    </w:p>
    <w:p w:rsidR="00FE10BE" w:rsidRPr="00B17079" w:rsidRDefault="00FE10BE" w:rsidP="00FE10B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Tuttavia la paura non è solo legata al </w:t>
      </w:r>
      <w:r w:rsidR="008D2F49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fatto di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recarsi all’estero per trascorrere la propria vacanza</w:t>
      </w:r>
      <w:r w:rsidR="008D2F49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o all’utilizzo dell’aereo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: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è forte il timore che 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si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possa 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>verificare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un attentato </w:t>
      </w:r>
      <w:r w:rsidR="00AC2D1C" w:rsidRPr="00B17079">
        <w:rPr>
          <w:rFonts w:ascii="Verdana" w:eastAsia="Calibri" w:hAnsi="Verdana" w:cs="Arial"/>
          <w:sz w:val="18"/>
          <w:szCs w:val="18"/>
          <w:lang w:eastAsia="en-US"/>
        </w:rPr>
        <w:t>di matrice islamica nel nostro P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aese.</w:t>
      </w:r>
    </w:p>
    <w:p w:rsidR="00FE10BE" w:rsidRPr="00B17079" w:rsidRDefault="00FE10BE" w:rsidP="00FE10B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B17079" w:rsidRDefault="00FE10BE" w:rsidP="00FE10B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B17079" w:rsidRDefault="001822A0" w:rsidP="001822A0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7" type="#_x0000_t75" style="width:390pt;height:270pt" o:ole="">
            <v:imagedata r:id="rId15" o:title=""/>
          </v:shape>
          <o:OLEObject Type="Embed" ProgID="PowerPoint.Slide.12" ShapeID="_x0000_i1027" DrawAspect="Content" ObjectID="_1516106992" r:id="rId16"/>
        </w:object>
      </w:r>
    </w:p>
    <w:p w:rsidR="00FE10BE" w:rsidRPr="00B17079" w:rsidRDefault="00FE10BE" w:rsidP="00FE10B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FE10BE" w:rsidRPr="00B17079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B17079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822A0" w:rsidRPr="00B17079" w:rsidRDefault="00AC2D1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lastRenderedPageBreak/>
        <w:t>Queste incertezze legate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al terrorismo non 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aiutano la crescita del turismo e influiscono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sul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>l’indice di propensione al viaggio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, che tuttavia rimane stabile negli ultimi mesi ed è di 2 punti superiore al valore registrato a gennaio 2015.</w:t>
      </w:r>
    </w:p>
    <w:p w:rsidR="001822A0" w:rsidRPr="00B17079" w:rsidRDefault="00DB630B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Buona parte di questo ottimismo deriva dalle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buone notizie che arrivano dall’economia italiana.</w:t>
      </w:r>
    </w:p>
    <w:p w:rsidR="004B435E" w:rsidRPr="00B17079" w:rsidRDefault="001822A0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Secondo </w:t>
      </w:r>
      <w:r w:rsidR="004B435E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le </w:t>
      </w:r>
      <w:r w:rsidR="00155F83" w:rsidRPr="00B17079">
        <w:rPr>
          <w:rFonts w:ascii="Verdana" w:eastAsia="Calibri" w:hAnsi="Verdana" w:cs="Arial"/>
          <w:sz w:val="18"/>
          <w:szCs w:val="18"/>
          <w:lang w:eastAsia="en-US"/>
        </w:rPr>
        <w:t>stime</w:t>
      </w:r>
      <w:r w:rsidR="004B435E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economiche, l’Italia è tornata finalmente a crescere</w:t>
      </w:r>
      <w:r w:rsidR="0043530D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nel 2015</w:t>
      </w:r>
      <w:r w:rsidR="004B435E" w:rsidRPr="00B17079">
        <w:rPr>
          <w:rFonts w:ascii="Verdana" w:eastAsia="Calibri" w:hAnsi="Verdana" w:cs="Arial"/>
          <w:sz w:val="18"/>
          <w:szCs w:val="18"/>
          <w:lang w:eastAsia="en-US"/>
        </w:rPr>
        <w:t>, dopo anni di dura recessione.</w:t>
      </w:r>
    </w:p>
    <w:p w:rsidR="00C62C6D" w:rsidRPr="00B17079" w:rsidRDefault="00C62C6D" w:rsidP="00C62C6D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B17079">
        <w:rPr>
          <w:rFonts w:ascii="Verdana" w:hAnsi="Verdana" w:cs="Tahoma"/>
          <w:sz w:val="18"/>
          <w:szCs w:val="18"/>
        </w:rPr>
        <w:t xml:space="preserve">Il PIL </w:t>
      </w:r>
      <w:r w:rsidR="0043530D" w:rsidRPr="00B17079">
        <w:rPr>
          <w:rFonts w:ascii="Verdana" w:hAnsi="Verdana" w:cs="Tahoma"/>
          <w:sz w:val="18"/>
          <w:szCs w:val="18"/>
        </w:rPr>
        <w:t xml:space="preserve">è cresciuto </w:t>
      </w:r>
      <w:r w:rsidR="007806DC" w:rsidRPr="00B17079">
        <w:rPr>
          <w:rFonts w:ascii="Verdana" w:hAnsi="Verdana" w:cs="Tahoma"/>
          <w:sz w:val="18"/>
          <w:szCs w:val="18"/>
        </w:rPr>
        <w:t>nel 2015</w:t>
      </w:r>
      <w:r w:rsidRPr="00B17079">
        <w:rPr>
          <w:rFonts w:ascii="Verdana" w:hAnsi="Verdana" w:cs="Tahoma"/>
          <w:sz w:val="18"/>
          <w:szCs w:val="18"/>
        </w:rPr>
        <w:t xml:space="preserve"> dell’0,9 per cento dopo </w:t>
      </w:r>
      <w:r w:rsidR="007806DC" w:rsidRPr="00B17079">
        <w:rPr>
          <w:rFonts w:ascii="Verdana" w:hAnsi="Verdana" w:cs="Tahoma"/>
          <w:sz w:val="18"/>
          <w:szCs w:val="18"/>
        </w:rPr>
        <w:t>anni di</w:t>
      </w:r>
      <w:r w:rsidRPr="00B17079">
        <w:rPr>
          <w:rFonts w:ascii="Verdana" w:hAnsi="Verdana" w:cs="Tahoma"/>
          <w:sz w:val="18"/>
          <w:szCs w:val="18"/>
        </w:rPr>
        <w:t xml:space="preserve"> recessione, mentre </w:t>
      </w:r>
      <w:r w:rsidR="00DB630B" w:rsidRPr="00B17079">
        <w:rPr>
          <w:rFonts w:ascii="Verdana" w:hAnsi="Verdana" w:cs="Tahoma"/>
          <w:sz w:val="18"/>
          <w:szCs w:val="18"/>
        </w:rPr>
        <w:t>quest’</w:t>
      </w:r>
      <w:r w:rsidR="0043530D" w:rsidRPr="00B17079">
        <w:rPr>
          <w:rFonts w:ascii="Verdana" w:hAnsi="Verdana" w:cs="Tahoma"/>
          <w:sz w:val="18"/>
          <w:szCs w:val="18"/>
        </w:rPr>
        <w:t xml:space="preserve">anno </w:t>
      </w:r>
      <w:r w:rsidRPr="00B17079">
        <w:rPr>
          <w:rFonts w:ascii="Verdana" w:hAnsi="Verdana" w:cs="Tahoma"/>
          <w:sz w:val="18"/>
          <w:szCs w:val="18"/>
        </w:rPr>
        <w:t>la crescita economica dovrebbe accelerare all’1,5 per cento.</w:t>
      </w:r>
    </w:p>
    <w:p w:rsidR="001822A0" w:rsidRPr="00B17079" w:rsidRDefault="001822A0" w:rsidP="00C62C6D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B17079">
        <w:rPr>
          <w:rFonts w:ascii="Verdana" w:hAnsi="Verdana" w:cs="Tahoma"/>
          <w:sz w:val="18"/>
          <w:szCs w:val="18"/>
        </w:rPr>
        <w:t xml:space="preserve">Al tempo stesso la disoccupazione è in forte diminuzione. Tra novembre 2015 (ultimo dato disponibile dell’Istat) e lo stesso mese del 2014, </w:t>
      </w:r>
      <w:r w:rsidR="00DB630B" w:rsidRPr="00B17079">
        <w:rPr>
          <w:rFonts w:ascii="Verdana" w:hAnsi="Verdana" w:cs="Tahoma"/>
          <w:sz w:val="18"/>
          <w:szCs w:val="18"/>
        </w:rPr>
        <w:t>la disoccupazione è scesa, passando dal 13,1 al 11,3 per cento</w:t>
      </w:r>
      <w:r w:rsidRPr="00B17079">
        <w:rPr>
          <w:rFonts w:ascii="Verdana" w:hAnsi="Verdana" w:cs="Tahoma"/>
          <w:sz w:val="18"/>
          <w:szCs w:val="18"/>
        </w:rPr>
        <w:t>.</w:t>
      </w:r>
    </w:p>
    <w:p w:rsidR="001822A0" w:rsidRPr="00B17079" w:rsidRDefault="00DB630B" w:rsidP="001822A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Si tratta di 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miglioramenti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riconducibili 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sia alle riforme del Governo che a fattori esterni, quali la caduta del prezzo del petrolio e il quantitative </w:t>
      </w:r>
      <w:proofErr w:type="spellStart"/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>easing</w:t>
      </w:r>
      <w:proofErr w:type="spellEnd"/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deciso dalla Banca Centrale Europea.</w:t>
      </w:r>
    </w:p>
    <w:p w:rsidR="001822A0" w:rsidRPr="00B17079" w:rsidRDefault="001822A0" w:rsidP="001822A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Per tali mot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ivazioni, il “</w:t>
      </w:r>
      <w:proofErr w:type="spellStart"/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sentiment</w:t>
      </w:r>
      <w:proofErr w:type="spellEnd"/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” degli I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taliani su economia e turismo è in forte crescita rispetto allo scorso anno.</w:t>
      </w:r>
    </w:p>
    <w:p w:rsidR="00155F83" w:rsidRPr="00B17079" w:rsidRDefault="001822A0" w:rsidP="00155F83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Se a Gennaio del 2015 la percentuale dei pessimisti superava di 17 punti quella degli ottimisti, a Gennaio del 2016 il saldo è negativo di solo 5 punti percentuali.</w:t>
      </w:r>
    </w:p>
    <w:p w:rsidR="001822A0" w:rsidRPr="00B17079" w:rsidRDefault="007745C6" w:rsidP="00155F83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In soli dodici mesi</w:t>
      </w:r>
      <w:r w:rsidR="001822A0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c’è stato un recupero di ben 12 punti percentuali.</w:t>
      </w:r>
    </w:p>
    <w:p w:rsidR="00A616AE" w:rsidRPr="00B17079" w:rsidRDefault="002D1E3D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Questi dati sono dovuti anche alla forte spinta che arriva dal turismo culturale.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A616AE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Le </w:t>
      </w:r>
      <w:r w:rsidR="00155F83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città d’arte rimangono in cima alle preferenze di viaggio 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per oltre un I</w:t>
      </w:r>
      <w:r w:rsidR="00A616AE" w:rsidRPr="00B17079">
        <w:rPr>
          <w:rFonts w:ascii="Verdana" w:eastAsia="Calibri" w:hAnsi="Verdana" w:cs="Arial"/>
          <w:sz w:val="18"/>
          <w:szCs w:val="18"/>
          <w:lang w:eastAsia="en-US"/>
        </w:rPr>
        <w:t>taliano su due.</w:t>
      </w:r>
    </w:p>
    <w:p w:rsidR="00D67D47" w:rsidRPr="00B17079" w:rsidRDefault="00DB630B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Quasi sei I</w:t>
      </w:r>
      <w:r w:rsidR="00A616AE" w:rsidRPr="00B17079">
        <w:rPr>
          <w:rFonts w:ascii="Verdana" w:eastAsia="Calibri" w:hAnsi="Verdana" w:cs="Arial"/>
          <w:sz w:val="18"/>
          <w:szCs w:val="18"/>
          <w:lang w:eastAsia="en-US"/>
        </w:rPr>
        <w:t>taliani su dieci hanno intenzione di visitare musei, mostre e monumenti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nel trimestre febbraio-aprile</w:t>
      </w:r>
      <w:r w:rsidR="00A616AE" w:rsidRPr="00B17079">
        <w:rPr>
          <w:rFonts w:ascii="Verdana" w:eastAsia="Calibri" w:hAnsi="Verdana" w:cs="Arial"/>
          <w:sz w:val="18"/>
          <w:szCs w:val="18"/>
          <w:lang w:eastAsia="en-US"/>
        </w:rPr>
        <w:t>. Un dato in forte crescita rispetto a dicembre del 2015.</w:t>
      </w:r>
    </w:p>
    <w:p w:rsidR="006419A7" w:rsidRPr="00B17079" w:rsidRDefault="00D67D47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A</w:t>
      </w:r>
      <w:r w:rsidR="00553603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l tempo stesso si evidenzia un 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buon</w:t>
      </w:r>
      <w:r w:rsidR="00553603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incremento della durata media del viaggio</w:t>
      </w:r>
      <w:r w:rsidR="006419A7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in questo inizio di 2016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, che sale a 3,8 notti, seguendo un trend già registrato a </w:t>
      </w:r>
      <w:r w:rsidR="006419A7" w:rsidRPr="00B17079">
        <w:rPr>
          <w:rFonts w:ascii="Verdana" w:eastAsia="Calibri" w:hAnsi="Verdana" w:cs="Arial"/>
          <w:sz w:val="18"/>
          <w:szCs w:val="18"/>
          <w:lang w:eastAsia="en-US"/>
        </w:rPr>
        <w:t>fine del 2015.</w:t>
      </w:r>
    </w:p>
    <w:p w:rsidR="007C77E6" w:rsidRPr="00B17079" w:rsidRDefault="00553603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Queste vacanze più lunghe saranno in prevalenza trascorse in destinazioni nazionali.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6419A7" w:rsidRPr="00B17079">
        <w:rPr>
          <w:rFonts w:ascii="Verdana" w:eastAsia="Calibri" w:hAnsi="Verdana" w:cs="Arial"/>
          <w:sz w:val="18"/>
          <w:szCs w:val="18"/>
          <w:lang w:eastAsia="en-US"/>
        </w:rPr>
        <w:t>Il 76</w:t>
      </w:r>
      <w:r w:rsidR="007C77E6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per cen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to degli I</w:t>
      </w:r>
      <w:r w:rsidR="007C77E6" w:rsidRPr="00B17079">
        <w:rPr>
          <w:rFonts w:ascii="Verdana" w:eastAsia="Calibri" w:hAnsi="Verdana" w:cs="Arial"/>
          <w:sz w:val="18"/>
          <w:szCs w:val="18"/>
          <w:lang w:eastAsia="en-US"/>
        </w:rPr>
        <w:t>taliani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, infatti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7C77E6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preferisce per il prossimo trimestre trascorrere le proprie vacanze in Italia.</w:t>
      </w:r>
    </w:p>
    <w:p w:rsidR="0003646C" w:rsidRPr="00B17079" w:rsidRDefault="0003646C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1674E" w:rsidRPr="00B17079" w:rsidRDefault="006419A7" w:rsidP="007C77E6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noProof/>
          <w:sz w:val="18"/>
          <w:szCs w:val="18"/>
        </w:rPr>
        <w:drawing>
          <wp:inline distT="0" distB="0" distL="0" distR="0" wp14:anchorId="3368C1F7" wp14:editId="54E5F493">
            <wp:extent cx="4953000" cy="3429000"/>
            <wp:effectExtent l="19050" t="0" r="0" b="0"/>
            <wp:docPr id="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74E" w:rsidRPr="00B17079" w:rsidRDefault="0021674E" w:rsidP="0021674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21674E" w:rsidRPr="00B17079" w:rsidRDefault="0021674E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1674E" w:rsidRPr="00B17079" w:rsidRDefault="0021674E" w:rsidP="00291B02">
      <w:pPr>
        <w:ind w:right="284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B17079" w:rsidRDefault="00D76D1B" w:rsidP="00291B02">
      <w:pPr>
        <w:ind w:right="284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La Toscana è</w:t>
      </w:r>
      <w:r w:rsidR="000E57D8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7C77E6" w:rsidRPr="00B17079">
        <w:rPr>
          <w:rFonts w:ascii="Verdana" w:eastAsia="Calibri" w:hAnsi="Verdana" w:cs="Arial"/>
          <w:sz w:val="18"/>
          <w:szCs w:val="18"/>
          <w:lang w:eastAsia="en-US"/>
        </w:rPr>
        <w:t>in testa alle</w:t>
      </w:r>
      <w:r w:rsidR="000E57D8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preferenze 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dei connazionali</w:t>
      </w:r>
      <w:r w:rsidR="00A92D79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7745C6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anche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grazie alle destinazioni legate </w:t>
      </w:r>
      <w:r w:rsidR="007745C6" w:rsidRPr="00B17079">
        <w:rPr>
          <w:rFonts w:ascii="Verdana" w:eastAsia="Calibri" w:hAnsi="Verdana" w:cs="Arial"/>
          <w:sz w:val="18"/>
          <w:szCs w:val="18"/>
          <w:lang w:eastAsia="en-US"/>
        </w:rPr>
        <w:t>al turismo culturale</w:t>
      </w:r>
      <w:r w:rsidR="00A92D79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. 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>Trentino Alto Adige e Lombardia sono rispettivamente in seconda e terza posizione, mentre registrano ott</w:t>
      </w:r>
      <w:r w:rsidR="00DB630B" w:rsidRPr="00B17079">
        <w:rPr>
          <w:rFonts w:ascii="Verdana" w:eastAsia="Calibri" w:hAnsi="Verdana" w:cs="Arial"/>
          <w:sz w:val="18"/>
          <w:szCs w:val="18"/>
          <w:lang w:eastAsia="en-US"/>
        </w:rPr>
        <w:t>imi valori anche Veneto e Lazio, anch’esse destinazioni a forte valenza culturale.</w:t>
      </w:r>
    </w:p>
    <w:p w:rsidR="003C48DA" w:rsidRPr="00B17079" w:rsidRDefault="005169E2" w:rsidP="00291B02">
      <w:pPr>
        <w:ind w:right="284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In Europa</w:t>
      </w:r>
      <w:r w:rsidR="003351DC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la </w:t>
      </w:r>
      <w:r w:rsidR="00ED6F58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Spagna rimane in posizione di </w:t>
      </w:r>
      <w:r w:rsidR="00670676" w:rsidRPr="00B17079">
        <w:rPr>
          <w:rFonts w:ascii="Verdana" w:eastAsia="Calibri" w:hAnsi="Verdana" w:cs="Arial"/>
          <w:sz w:val="18"/>
          <w:szCs w:val="18"/>
          <w:lang w:eastAsia="en-US"/>
        </w:rPr>
        <w:t>leadership</w:t>
      </w:r>
      <w:r w:rsidR="004A3867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ED6F58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davanti </w:t>
      </w:r>
      <w:r w:rsidR="00D76D1B" w:rsidRPr="00B17079">
        <w:rPr>
          <w:rFonts w:ascii="Verdana" w:eastAsia="Calibri" w:hAnsi="Verdana" w:cs="Arial"/>
          <w:sz w:val="18"/>
          <w:szCs w:val="18"/>
          <w:lang w:eastAsia="en-US"/>
        </w:rPr>
        <w:t>alla Francia e alla Germania.</w:t>
      </w:r>
    </w:p>
    <w:p w:rsidR="004A3867" w:rsidRPr="00B17079" w:rsidRDefault="007C77E6" w:rsidP="00291B02">
      <w:pPr>
        <w:ind w:right="284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B17079">
        <w:rPr>
          <w:rFonts w:ascii="Verdana" w:eastAsia="Calibri" w:hAnsi="Verdana" w:cs="Arial"/>
          <w:sz w:val="18"/>
          <w:szCs w:val="18"/>
          <w:lang w:eastAsia="en-US"/>
        </w:rPr>
        <w:t>Per quanto riguarda le</w:t>
      </w:r>
      <w:r w:rsidR="004A3867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5462BC" w:rsidRPr="00B17079">
        <w:rPr>
          <w:rFonts w:ascii="Verdana" w:eastAsia="Calibri" w:hAnsi="Verdana" w:cs="Arial"/>
          <w:sz w:val="18"/>
          <w:szCs w:val="18"/>
          <w:lang w:eastAsia="en-US"/>
        </w:rPr>
        <w:t>destinazioni</w:t>
      </w:r>
      <w:r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4A3867" w:rsidRPr="00B17079">
        <w:rPr>
          <w:rFonts w:ascii="Verdana" w:eastAsia="Calibri" w:hAnsi="Verdana" w:cs="Arial"/>
          <w:sz w:val="18"/>
          <w:szCs w:val="18"/>
          <w:lang w:eastAsia="en-US"/>
        </w:rPr>
        <w:t>extra-europee</w:t>
      </w:r>
      <w:r w:rsidR="00D76D1B" w:rsidRPr="00B17079">
        <w:rPr>
          <w:rFonts w:ascii="Verdana" w:eastAsia="Calibri" w:hAnsi="Verdana" w:cs="Arial"/>
          <w:sz w:val="18"/>
          <w:szCs w:val="18"/>
          <w:lang w:eastAsia="en-US"/>
        </w:rPr>
        <w:t xml:space="preserve"> i Caraibi e gli Stati Uniti div</w:t>
      </w:r>
      <w:r w:rsidR="00E652BC" w:rsidRPr="00B17079">
        <w:rPr>
          <w:rFonts w:ascii="Verdana" w:eastAsia="Calibri" w:hAnsi="Verdana" w:cs="Arial"/>
          <w:sz w:val="18"/>
          <w:szCs w:val="18"/>
          <w:lang w:eastAsia="en-US"/>
        </w:rPr>
        <w:t>entano le mete preferite dagli I</w:t>
      </w:r>
      <w:r w:rsidR="00D76D1B" w:rsidRPr="00B17079">
        <w:rPr>
          <w:rFonts w:ascii="Verdana" w:eastAsia="Calibri" w:hAnsi="Verdana" w:cs="Arial"/>
          <w:sz w:val="18"/>
          <w:szCs w:val="18"/>
          <w:lang w:eastAsia="en-US"/>
        </w:rPr>
        <w:t>taliani.</w:t>
      </w:r>
    </w:p>
    <w:p w:rsidR="00B16DE8" w:rsidRDefault="00B16DE8" w:rsidP="001E3387">
      <w:pPr>
        <w:ind w:right="281"/>
        <w:rPr>
          <w:rFonts w:ascii="Verdana" w:eastAsia="Calibri" w:hAnsi="Verdana" w:cs="Arial"/>
          <w:sz w:val="22"/>
          <w:szCs w:val="22"/>
          <w:lang w:eastAsia="en-US"/>
        </w:rPr>
      </w:pPr>
    </w:p>
    <w:p w:rsidR="007C77E6" w:rsidRDefault="007C77E6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2"/>
          <w:szCs w:val="22"/>
        </w:rPr>
      </w:pPr>
    </w:p>
    <w:p w:rsidR="00057EA4" w:rsidRPr="00D96270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2"/>
          <w:szCs w:val="22"/>
        </w:rPr>
      </w:pPr>
      <w:r w:rsidRPr="00D96270">
        <w:rPr>
          <w:rFonts w:ascii="Arial" w:hAnsi="Arial" w:cs="Arial"/>
          <w:sz w:val="22"/>
          <w:szCs w:val="22"/>
        </w:rPr>
        <w:t>---------------------------------------------</w:t>
      </w:r>
    </w:p>
    <w:p w:rsidR="00057EA4" w:rsidRPr="00D96270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2"/>
          <w:szCs w:val="22"/>
        </w:rPr>
      </w:pPr>
    </w:p>
    <w:p w:rsidR="00057EA4" w:rsidRPr="00041961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16"/>
          <w:szCs w:val="16"/>
          <w:u w:val="single"/>
        </w:rPr>
      </w:pPr>
      <w:r w:rsidRPr="00041961">
        <w:rPr>
          <w:rFonts w:ascii="Arial" w:hAnsi="Arial" w:cs="Arial"/>
          <w:sz w:val="16"/>
          <w:szCs w:val="16"/>
          <w:u w:val="single"/>
        </w:rPr>
        <w:t>Nota Metodologica</w:t>
      </w:r>
    </w:p>
    <w:p w:rsidR="00BE5261" w:rsidRPr="00041961" w:rsidRDefault="007745C6" w:rsidP="007745C6">
      <w:pPr>
        <w:pStyle w:val="NormaleWeb"/>
        <w:shd w:val="clear" w:color="auto" w:fill="FFFFFF"/>
        <w:spacing w:before="0"/>
        <w:ind w:right="281"/>
        <w:rPr>
          <w:rFonts w:ascii="Arial" w:hAnsi="Arial" w:cs="Arial"/>
          <w:sz w:val="16"/>
          <w:szCs w:val="16"/>
        </w:rPr>
      </w:pPr>
      <w:r w:rsidRPr="00041961">
        <w:rPr>
          <w:rFonts w:ascii="Arial" w:hAnsi="Arial" w:cs="Arial"/>
          <w:sz w:val="16"/>
          <w:szCs w:val="16"/>
        </w:rPr>
        <w:lastRenderedPageBreak/>
        <w:t>L’indagine che presentiamo è stata eseguita fra il 18 e il 21 GENNAIO 2016 con metodologia CATI/CAWI su un campione di 1.000 casi rappresentativo della popolazione residente in Italia dai 18 ai 74 anni, segmentato per sesso, classe di età, Ampiezza Centri e GRG (Grandi Ripartizioni Geografiche).</w:t>
      </w:r>
    </w:p>
    <w:sectPr w:rsidR="00BE5261" w:rsidRPr="00041961" w:rsidSect="00001D3D">
      <w:footerReference w:type="even" r:id="rId18"/>
      <w:footerReference w:type="default" r:id="rId19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02C" w:rsidRDefault="00CC202C">
      <w:r>
        <w:separator/>
      </w:r>
    </w:p>
  </w:endnote>
  <w:endnote w:type="continuationSeparator" w:id="0">
    <w:p w:rsidR="00CC202C" w:rsidRDefault="00CC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7B1AF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7B1AF4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342364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02C" w:rsidRDefault="00CC202C">
      <w:r>
        <w:separator/>
      </w:r>
    </w:p>
  </w:footnote>
  <w:footnote w:type="continuationSeparator" w:id="0">
    <w:p w:rsidR="00CC202C" w:rsidRDefault="00CC2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.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0FFE"/>
    <w:rsid w:val="00011552"/>
    <w:rsid w:val="0001739D"/>
    <w:rsid w:val="00021EB6"/>
    <w:rsid w:val="00025A3D"/>
    <w:rsid w:val="000332D0"/>
    <w:rsid w:val="000353A3"/>
    <w:rsid w:val="0003646C"/>
    <w:rsid w:val="0003678F"/>
    <w:rsid w:val="00040445"/>
    <w:rsid w:val="00041961"/>
    <w:rsid w:val="00042226"/>
    <w:rsid w:val="00047236"/>
    <w:rsid w:val="0005055B"/>
    <w:rsid w:val="0005271C"/>
    <w:rsid w:val="00052C47"/>
    <w:rsid w:val="00057EA4"/>
    <w:rsid w:val="00063570"/>
    <w:rsid w:val="00065B9E"/>
    <w:rsid w:val="00066528"/>
    <w:rsid w:val="00066658"/>
    <w:rsid w:val="000800D6"/>
    <w:rsid w:val="00080F3F"/>
    <w:rsid w:val="00095118"/>
    <w:rsid w:val="000956C6"/>
    <w:rsid w:val="000A4559"/>
    <w:rsid w:val="000A5DB2"/>
    <w:rsid w:val="000A5E2E"/>
    <w:rsid w:val="000B2A8E"/>
    <w:rsid w:val="000B77B4"/>
    <w:rsid w:val="000C4760"/>
    <w:rsid w:val="000D02C3"/>
    <w:rsid w:val="000D04AB"/>
    <w:rsid w:val="000D0F58"/>
    <w:rsid w:val="000E245E"/>
    <w:rsid w:val="000E5389"/>
    <w:rsid w:val="000E57D8"/>
    <w:rsid w:val="000F0623"/>
    <w:rsid w:val="000F19AE"/>
    <w:rsid w:val="00103195"/>
    <w:rsid w:val="00103C03"/>
    <w:rsid w:val="00107BBB"/>
    <w:rsid w:val="001225F9"/>
    <w:rsid w:val="00124E9D"/>
    <w:rsid w:val="001257A5"/>
    <w:rsid w:val="001268BC"/>
    <w:rsid w:val="00131148"/>
    <w:rsid w:val="00131A9B"/>
    <w:rsid w:val="00131CFB"/>
    <w:rsid w:val="00143F99"/>
    <w:rsid w:val="00144C6A"/>
    <w:rsid w:val="001527C1"/>
    <w:rsid w:val="0015529A"/>
    <w:rsid w:val="00155F83"/>
    <w:rsid w:val="00162C05"/>
    <w:rsid w:val="00166854"/>
    <w:rsid w:val="001714F1"/>
    <w:rsid w:val="00175025"/>
    <w:rsid w:val="0017731A"/>
    <w:rsid w:val="00181B14"/>
    <w:rsid w:val="001822A0"/>
    <w:rsid w:val="001839A8"/>
    <w:rsid w:val="00186AA5"/>
    <w:rsid w:val="0019543F"/>
    <w:rsid w:val="001A59D0"/>
    <w:rsid w:val="001B1D2C"/>
    <w:rsid w:val="001B31C3"/>
    <w:rsid w:val="001C0A6C"/>
    <w:rsid w:val="001D3F9C"/>
    <w:rsid w:val="001D79DE"/>
    <w:rsid w:val="001D7BDA"/>
    <w:rsid w:val="001E0E3A"/>
    <w:rsid w:val="001E3387"/>
    <w:rsid w:val="001F1EFA"/>
    <w:rsid w:val="001F2B32"/>
    <w:rsid w:val="00201C4D"/>
    <w:rsid w:val="002039E6"/>
    <w:rsid w:val="002100B3"/>
    <w:rsid w:val="002124B6"/>
    <w:rsid w:val="00215464"/>
    <w:rsid w:val="0021674E"/>
    <w:rsid w:val="00223875"/>
    <w:rsid w:val="00224CFF"/>
    <w:rsid w:val="00235291"/>
    <w:rsid w:val="00235DB7"/>
    <w:rsid w:val="00235E06"/>
    <w:rsid w:val="00236EAD"/>
    <w:rsid w:val="00243053"/>
    <w:rsid w:val="00243507"/>
    <w:rsid w:val="0024422E"/>
    <w:rsid w:val="0024444E"/>
    <w:rsid w:val="002516FF"/>
    <w:rsid w:val="002628FE"/>
    <w:rsid w:val="00270F48"/>
    <w:rsid w:val="00271373"/>
    <w:rsid w:val="00277245"/>
    <w:rsid w:val="00283E77"/>
    <w:rsid w:val="00287323"/>
    <w:rsid w:val="00291B02"/>
    <w:rsid w:val="002A31A8"/>
    <w:rsid w:val="002A4F38"/>
    <w:rsid w:val="002A50A9"/>
    <w:rsid w:val="002A5F21"/>
    <w:rsid w:val="002B003F"/>
    <w:rsid w:val="002B1A00"/>
    <w:rsid w:val="002B389A"/>
    <w:rsid w:val="002B7271"/>
    <w:rsid w:val="002C17F4"/>
    <w:rsid w:val="002C3484"/>
    <w:rsid w:val="002D1E3D"/>
    <w:rsid w:val="002D3F5D"/>
    <w:rsid w:val="002E6349"/>
    <w:rsid w:val="002E6C6A"/>
    <w:rsid w:val="002F13F0"/>
    <w:rsid w:val="002F3FA0"/>
    <w:rsid w:val="002F5126"/>
    <w:rsid w:val="002F589D"/>
    <w:rsid w:val="002F7B56"/>
    <w:rsid w:val="00304580"/>
    <w:rsid w:val="00304A96"/>
    <w:rsid w:val="0032073A"/>
    <w:rsid w:val="003268FC"/>
    <w:rsid w:val="0033097E"/>
    <w:rsid w:val="00331CD9"/>
    <w:rsid w:val="003351DC"/>
    <w:rsid w:val="003354CF"/>
    <w:rsid w:val="00342364"/>
    <w:rsid w:val="00357680"/>
    <w:rsid w:val="003605EE"/>
    <w:rsid w:val="003613E8"/>
    <w:rsid w:val="003623C9"/>
    <w:rsid w:val="003656CC"/>
    <w:rsid w:val="00367D60"/>
    <w:rsid w:val="00380141"/>
    <w:rsid w:val="00392C4F"/>
    <w:rsid w:val="00393302"/>
    <w:rsid w:val="0039502F"/>
    <w:rsid w:val="003A295E"/>
    <w:rsid w:val="003A56DE"/>
    <w:rsid w:val="003B3296"/>
    <w:rsid w:val="003C00F3"/>
    <w:rsid w:val="003C07DB"/>
    <w:rsid w:val="003C4723"/>
    <w:rsid w:val="003C48DA"/>
    <w:rsid w:val="003E26EC"/>
    <w:rsid w:val="003E345D"/>
    <w:rsid w:val="003E34B3"/>
    <w:rsid w:val="003E67B7"/>
    <w:rsid w:val="0040414A"/>
    <w:rsid w:val="00404399"/>
    <w:rsid w:val="004117F7"/>
    <w:rsid w:val="00412F6B"/>
    <w:rsid w:val="00420B12"/>
    <w:rsid w:val="0043335F"/>
    <w:rsid w:val="00433730"/>
    <w:rsid w:val="0043530D"/>
    <w:rsid w:val="00453E1F"/>
    <w:rsid w:val="00456063"/>
    <w:rsid w:val="004656B9"/>
    <w:rsid w:val="0046724C"/>
    <w:rsid w:val="00467B36"/>
    <w:rsid w:val="00470D37"/>
    <w:rsid w:val="00475954"/>
    <w:rsid w:val="00476E1E"/>
    <w:rsid w:val="0048330E"/>
    <w:rsid w:val="00484AA2"/>
    <w:rsid w:val="00491502"/>
    <w:rsid w:val="00492A99"/>
    <w:rsid w:val="00495979"/>
    <w:rsid w:val="004A1BC5"/>
    <w:rsid w:val="004A3867"/>
    <w:rsid w:val="004A784E"/>
    <w:rsid w:val="004B435E"/>
    <w:rsid w:val="004B46AF"/>
    <w:rsid w:val="004D2B46"/>
    <w:rsid w:val="004F0E39"/>
    <w:rsid w:val="004F1D4B"/>
    <w:rsid w:val="004F2B40"/>
    <w:rsid w:val="004F62BC"/>
    <w:rsid w:val="005116AB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53603"/>
    <w:rsid w:val="00561688"/>
    <w:rsid w:val="00561811"/>
    <w:rsid w:val="00561DEC"/>
    <w:rsid w:val="00564CDA"/>
    <w:rsid w:val="00570E7D"/>
    <w:rsid w:val="00571D52"/>
    <w:rsid w:val="00586976"/>
    <w:rsid w:val="00586D3A"/>
    <w:rsid w:val="00586D4A"/>
    <w:rsid w:val="0059125E"/>
    <w:rsid w:val="00594F6E"/>
    <w:rsid w:val="005A00F6"/>
    <w:rsid w:val="005A09E9"/>
    <w:rsid w:val="005B10E9"/>
    <w:rsid w:val="005B7B8F"/>
    <w:rsid w:val="005C0F4D"/>
    <w:rsid w:val="005C5CC8"/>
    <w:rsid w:val="005D2419"/>
    <w:rsid w:val="005E0589"/>
    <w:rsid w:val="005E7AFA"/>
    <w:rsid w:val="005F0813"/>
    <w:rsid w:val="005F1D88"/>
    <w:rsid w:val="006029CF"/>
    <w:rsid w:val="00602BEB"/>
    <w:rsid w:val="00604403"/>
    <w:rsid w:val="00605BC9"/>
    <w:rsid w:val="00607911"/>
    <w:rsid w:val="00612789"/>
    <w:rsid w:val="00612A6E"/>
    <w:rsid w:val="00613D15"/>
    <w:rsid w:val="00615922"/>
    <w:rsid w:val="006174C8"/>
    <w:rsid w:val="00631124"/>
    <w:rsid w:val="006368B9"/>
    <w:rsid w:val="00640BD5"/>
    <w:rsid w:val="006419A7"/>
    <w:rsid w:val="00641E6A"/>
    <w:rsid w:val="0064389D"/>
    <w:rsid w:val="00647F12"/>
    <w:rsid w:val="00654118"/>
    <w:rsid w:val="006608B2"/>
    <w:rsid w:val="00663453"/>
    <w:rsid w:val="00666CA5"/>
    <w:rsid w:val="00670676"/>
    <w:rsid w:val="00671BB6"/>
    <w:rsid w:val="0068169C"/>
    <w:rsid w:val="00681764"/>
    <w:rsid w:val="00682808"/>
    <w:rsid w:val="00683685"/>
    <w:rsid w:val="006903EE"/>
    <w:rsid w:val="00693CD9"/>
    <w:rsid w:val="00696A62"/>
    <w:rsid w:val="006B5D0A"/>
    <w:rsid w:val="006B6028"/>
    <w:rsid w:val="006D16FF"/>
    <w:rsid w:val="006D54D9"/>
    <w:rsid w:val="006E1FD5"/>
    <w:rsid w:val="006E6C17"/>
    <w:rsid w:val="006F03B8"/>
    <w:rsid w:val="006F4F87"/>
    <w:rsid w:val="006F6BE3"/>
    <w:rsid w:val="00700443"/>
    <w:rsid w:val="00706DB5"/>
    <w:rsid w:val="007205ED"/>
    <w:rsid w:val="0072685B"/>
    <w:rsid w:val="007435A4"/>
    <w:rsid w:val="00744EB0"/>
    <w:rsid w:val="007703B1"/>
    <w:rsid w:val="007745C6"/>
    <w:rsid w:val="00775278"/>
    <w:rsid w:val="007806DC"/>
    <w:rsid w:val="00780FF6"/>
    <w:rsid w:val="0078213C"/>
    <w:rsid w:val="00786C6F"/>
    <w:rsid w:val="007904B8"/>
    <w:rsid w:val="007A43D0"/>
    <w:rsid w:val="007B1AF4"/>
    <w:rsid w:val="007C30C9"/>
    <w:rsid w:val="007C3137"/>
    <w:rsid w:val="007C3A42"/>
    <w:rsid w:val="007C56A3"/>
    <w:rsid w:val="007C66DA"/>
    <w:rsid w:val="007C6775"/>
    <w:rsid w:val="007C6D68"/>
    <w:rsid w:val="007C77E6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344BE"/>
    <w:rsid w:val="00844382"/>
    <w:rsid w:val="00845C22"/>
    <w:rsid w:val="00854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841A3"/>
    <w:rsid w:val="00893E02"/>
    <w:rsid w:val="008943ED"/>
    <w:rsid w:val="008B076D"/>
    <w:rsid w:val="008B0E0F"/>
    <w:rsid w:val="008B13B6"/>
    <w:rsid w:val="008B41D8"/>
    <w:rsid w:val="008B5ADB"/>
    <w:rsid w:val="008D2F49"/>
    <w:rsid w:val="008D3064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8F71C7"/>
    <w:rsid w:val="00904BC9"/>
    <w:rsid w:val="00904ED6"/>
    <w:rsid w:val="009066FA"/>
    <w:rsid w:val="00907798"/>
    <w:rsid w:val="00907A8C"/>
    <w:rsid w:val="0091205F"/>
    <w:rsid w:val="00913878"/>
    <w:rsid w:val="00921D2B"/>
    <w:rsid w:val="0092269F"/>
    <w:rsid w:val="0092383F"/>
    <w:rsid w:val="009243D3"/>
    <w:rsid w:val="00924CE0"/>
    <w:rsid w:val="0093156F"/>
    <w:rsid w:val="009440A7"/>
    <w:rsid w:val="00944612"/>
    <w:rsid w:val="00944D8F"/>
    <w:rsid w:val="00945333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A2103"/>
    <w:rsid w:val="009A7491"/>
    <w:rsid w:val="009C3DF7"/>
    <w:rsid w:val="009C7957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3DCA"/>
    <w:rsid w:val="00A54EF3"/>
    <w:rsid w:val="00A550E0"/>
    <w:rsid w:val="00A616AE"/>
    <w:rsid w:val="00A75098"/>
    <w:rsid w:val="00A755A3"/>
    <w:rsid w:val="00A76725"/>
    <w:rsid w:val="00A92D79"/>
    <w:rsid w:val="00A9570A"/>
    <w:rsid w:val="00AB15F1"/>
    <w:rsid w:val="00AB5455"/>
    <w:rsid w:val="00AB59E2"/>
    <w:rsid w:val="00AB5C88"/>
    <w:rsid w:val="00AC2D1C"/>
    <w:rsid w:val="00AD4B7B"/>
    <w:rsid w:val="00AD5966"/>
    <w:rsid w:val="00AD7028"/>
    <w:rsid w:val="00AD7074"/>
    <w:rsid w:val="00AD74B4"/>
    <w:rsid w:val="00AD7F97"/>
    <w:rsid w:val="00AE5666"/>
    <w:rsid w:val="00AF2627"/>
    <w:rsid w:val="00AF3689"/>
    <w:rsid w:val="00AF4122"/>
    <w:rsid w:val="00B004E6"/>
    <w:rsid w:val="00B010E7"/>
    <w:rsid w:val="00B02DD9"/>
    <w:rsid w:val="00B123B6"/>
    <w:rsid w:val="00B15B25"/>
    <w:rsid w:val="00B16DE8"/>
    <w:rsid w:val="00B17079"/>
    <w:rsid w:val="00B2140A"/>
    <w:rsid w:val="00B219B0"/>
    <w:rsid w:val="00B24427"/>
    <w:rsid w:val="00B25ADD"/>
    <w:rsid w:val="00B27C02"/>
    <w:rsid w:val="00B33DD0"/>
    <w:rsid w:val="00B4416B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E9B"/>
    <w:rsid w:val="00BA284D"/>
    <w:rsid w:val="00BA52ED"/>
    <w:rsid w:val="00BA5512"/>
    <w:rsid w:val="00BA7352"/>
    <w:rsid w:val="00BB6ECA"/>
    <w:rsid w:val="00BB75E7"/>
    <w:rsid w:val="00BC3986"/>
    <w:rsid w:val="00BC4224"/>
    <w:rsid w:val="00BC46BA"/>
    <w:rsid w:val="00BC4FAA"/>
    <w:rsid w:val="00BC6E3C"/>
    <w:rsid w:val="00BC7D9A"/>
    <w:rsid w:val="00BE5261"/>
    <w:rsid w:val="00C04E78"/>
    <w:rsid w:val="00C10BF0"/>
    <w:rsid w:val="00C11E63"/>
    <w:rsid w:val="00C25D12"/>
    <w:rsid w:val="00C31648"/>
    <w:rsid w:val="00C34AED"/>
    <w:rsid w:val="00C35A08"/>
    <w:rsid w:val="00C50C74"/>
    <w:rsid w:val="00C55143"/>
    <w:rsid w:val="00C56400"/>
    <w:rsid w:val="00C61806"/>
    <w:rsid w:val="00C62C6D"/>
    <w:rsid w:val="00C7177C"/>
    <w:rsid w:val="00C71DC5"/>
    <w:rsid w:val="00C734FE"/>
    <w:rsid w:val="00C75557"/>
    <w:rsid w:val="00C8129B"/>
    <w:rsid w:val="00C94B9B"/>
    <w:rsid w:val="00C96F99"/>
    <w:rsid w:val="00CA1804"/>
    <w:rsid w:val="00CA3CEC"/>
    <w:rsid w:val="00CA4FB2"/>
    <w:rsid w:val="00CA5B33"/>
    <w:rsid w:val="00CA763E"/>
    <w:rsid w:val="00CB265A"/>
    <w:rsid w:val="00CB5231"/>
    <w:rsid w:val="00CB56D1"/>
    <w:rsid w:val="00CC05F0"/>
    <w:rsid w:val="00CC1626"/>
    <w:rsid w:val="00CC19C9"/>
    <w:rsid w:val="00CC202C"/>
    <w:rsid w:val="00CC3952"/>
    <w:rsid w:val="00CD3BED"/>
    <w:rsid w:val="00CD582B"/>
    <w:rsid w:val="00CE0165"/>
    <w:rsid w:val="00CE6CA4"/>
    <w:rsid w:val="00CF658E"/>
    <w:rsid w:val="00CF7046"/>
    <w:rsid w:val="00D01061"/>
    <w:rsid w:val="00D022B1"/>
    <w:rsid w:val="00D2527F"/>
    <w:rsid w:val="00D262B0"/>
    <w:rsid w:val="00D40BCB"/>
    <w:rsid w:val="00D41AFC"/>
    <w:rsid w:val="00D46E81"/>
    <w:rsid w:val="00D50B6B"/>
    <w:rsid w:val="00D52F72"/>
    <w:rsid w:val="00D61D94"/>
    <w:rsid w:val="00D674B2"/>
    <w:rsid w:val="00D67D47"/>
    <w:rsid w:val="00D76D1B"/>
    <w:rsid w:val="00D76F1C"/>
    <w:rsid w:val="00D77675"/>
    <w:rsid w:val="00D83B18"/>
    <w:rsid w:val="00D851C4"/>
    <w:rsid w:val="00D857B0"/>
    <w:rsid w:val="00D861ED"/>
    <w:rsid w:val="00D8709A"/>
    <w:rsid w:val="00D90A81"/>
    <w:rsid w:val="00D96270"/>
    <w:rsid w:val="00DA703E"/>
    <w:rsid w:val="00DA7BCC"/>
    <w:rsid w:val="00DB0741"/>
    <w:rsid w:val="00DB16D9"/>
    <w:rsid w:val="00DB3DCC"/>
    <w:rsid w:val="00DB618A"/>
    <w:rsid w:val="00DB630B"/>
    <w:rsid w:val="00DC5868"/>
    <w:rsid w:val="00DC7251"/>
    <w:rsid w:val="00DD1305"/>
    <w:rsid w:val="00DE0013"/>
    <w:rsid w:val="00DE12D7"/>
    <w:rsid w:val="00DE16C3"/>
    <w:rsid w:val="00DF49DB"/>
    <w:rsid w:val="00DF68AD"/>
    <w:rsid w:val="00DF7598"/>
    <w:rsid w:val="00E0032E"/>
    <w:rsid w:val="00E038CA"/>
    <w:rsid w:val="00E03C5B"/>
    <w:rsid w:val="00E0442E"/>
    <w:rsid w:val="00E06008"/>
    <w:rsid w:val="00E06054"/>
    <w:rsid w:val="00E07105"/>
    <w:rsid w:val="00E07BC5"/>
    <w:rsid w:val="00E21321"/>
    <w:rsid w:val="00E21AF9"/>
    <w:rsid w:val="00E25FCD"/>
    <w:rsid w:val="00E31767"/>
    <w:rsid w:val="00E31FBE"/>
    <w:rsid w:val="00E32591"/>
    <w:rsid w:val="00E36847"/>
    <w:rsid w:val="00E402CD"/>
    <w:rsid w:val="00E44883"/>
    <w:rsid w:val="00E44E42"/>
    <w:rsid w:val="00E5677C"/>
    <w:rsid w:val="00E61370"/>
    <w:rsid w:val="00E61DED"/>
    <w:rsid w:val="00E622C4"/>
    <w:rsid w:val="00E652BC"/>
    <w:rsid w:val="00E736F8"/>
    <w:rsid w:val="00E7646B"/>
    <w:rsid w:val="00E77252"/>
    <w:rsid w:val="00E77705"/>
    <w:rsid w:val="00E841A3"/>
    <w:rsid w:val="00E86C81"/>
    <w:rsid w:val="00E87442"/>
    <w:rsid w:val="00E91F04"/>
    <w:rsid w:val="00E9408C"/>
    <w:rsid w:val="00E952C5"/>
    <w:rsid w:val="00EA0B68"/>
    <w:rsid w:val="00EA10C1"/>
    <w:rsid w:val="00EA16FF"/>
    <w:rsid w:val="00EB0FD9"/>
    <w:rsid w:val="00EB677D"/>
    <w:rsid w:val="00EB7B0B"/>
    <w:rsid w:val="00EC278C"/>
    <w:rsid w:val="00ED0BBF"/>
    <w:rsid w:val="00ED6074"/>
    <w:rsid w:val="00ED6F58"/>
    <w:rsid w:val="00EE3C77"/>
    <w:rsid w:val="00EF1F81"/>
    <w:rsid w:val="00F029F2"/>
    <w:rsid w:val="00F04574"/>
    <w:rsid w:val="00F16C78"/>
    <w:rsid w:val="00F2045D"/>
    <w:rsid w:val="00F27E55"/>
    <w:rsid w:val="00F30918"/>
    <w:rsid w:val="00F35008"/>
    <w:rsid w:val="00F363C7"/>
    <w:rsid w:val="00F4008D"/>
    <w:rsid w:val="00F4406A"/>
    <w:rsid w:val="00F566D7"/>
    <w:rsid w:val="00F615FE"/>
    <w:rsid w:val="00F6758A"/>
    <w:rsid w:val="00F719B2"/>
    <w:rsid w:val="00F76959"/>
    <w:rsid w:val="00F80399"/>
    <w:rsid w:val="00F91DF6"/>
    <w:rsid w:val="00F923C4"/>
    <w:rsid w:val="00FA3415"/>
    <w:rsid w:val="00FB1A77"/>
    <w:rsid w:val="00FB4761"/>
    <w:rsid w:val="00FD3520"/>
    <w:rsid w:val="00FD5581"/>
    <w:rsid w:val="00FE10BE"/>
    <w:rsid w:val="00FF3ADB"/>
    <w:rsid w:val="00FF3B68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F93FCE-89C8-4EE1-9EB8-F83A6B19B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745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5003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2015-10-30T12:09:00Z</cp:lastPrinted>
  <dcterms:created xsi:type="dcterms:W3CDTF">2016-02-04T15:03:00Z</dcterms:created>
  <dcterms:modified xsi:type="dcterms:W3CDTF">2016-02-04T15:03:00Z</dcterms:modified>
</cp:coreProperties>
</file>