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E8" w:rsidRDefault="00B45DE8" w:rsidP="00E60A64">
      <w:pPr>
        <w:pStyle w:val="Pidipagina"/>
        <w:jc w:val="both"/>
        <w:rPr>
          <w:rFonts w:ascii="Verdana" w:hAnsi="Verdana" w:cs="Arial"/>
          <w:bCs/>
        </w:rPr>
      </w:pPr>
      <w:bookmarkStart w:id="0" w:name="_GoBack"/>
      <w:bookmarkEnd w:id="0"/>
      <w:r w:rsidRPr="00FD2201">
        <w:rPr>
          <w:rFonts w:ascii="Verdana" w:hAnsi="Verdana" w:cs="Arial"/>
        </w:rPr>
        <w:t xml:space="preserve">Tra il 2008 ed il 2014 le presenze </w:t>
      </w:r>
      <w:r>
        <w:rPr>
          <w:rFonts w:ascii="Verdana" w:hAnsi="Verdana" w:cs="Arial"/>
        </w:rPr>
        <w:t xml:space="preserve">turistiche interne sono diminuite di </w:t>
      </w:r>
      <w:r w:rsidRPr="00FD2201">
        <w:rPr>
          <w:rFonts w:ascii="Verdana" w:hAnsi="Verdana" w:cs="Arial"/>
          <w:bCs/>
        </w:rPr>
        <w:t>26 milioni</w:t>
      </w:r>
      <w:r w:rsidRPr="00FD220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di unità, quelle internazionali sono aumentate di </w:t>
      </w:r>
      <w:r w:rsidRPr="00FD2201">
        <w:rPr>
          <w:rFonts w:ascii="Verdana" w:hAnsi="Verdana" w:cs="Arial"/>
          <w:bCs/>
        </w:rPr>
        <w:t>22 milioni</w:t>
      </w:r>
      <w:r>
        <w:rPr>
          <w:rFonts w:ascii="Verdana" w:hAnsi="Verdana" w:cs="Arial"/>
          <w:bCs/>
        </w:rPr>
        <w:t xml:space="preserve">. Senza il contributo degli stranieri le perdite del turismo italiano sarebbero state ben più pesanti. </w:t>
      </w:r>
    </w:p>
    <w:p w:rsidR="000A08DA" w:rsidRPr="00FD2201" w:rsidRDefault="00B45DE8" w:rsidP="00E60A64">
      <w:pPr>
        <w:pStyle w:val="Pidipagina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G</w:t>
      </w:r>
      <w:r w:rsidR="00D73411" w:rsidRPr="00FD2201">
        <w:rPr>
          <w:rFonts w:ascii="Verdana" w:hAnsi="Verdana" w:cs="Arial"/>
        </w:rPr>
        <w:t>li arrivi di turisti internazionali hanno superato</w:t>
      </w:r>
      <w:r>
        <w:rPr>
          <w:rFonts w:ascii="Verdana" w:hAnsi="Verdana" w:cs="Arial"/>
        </w:rPr>
        <w:t>, nel corso dell’ultimo anno,</w:t>
      </w:r>
      <w:r w:rsidR="00D73411" w:rsidRPr="00FD2201">
        <w:rPr>
          <w:rFonts w:ascii="Verdana" w:hAnsi="Verdana" w:cs="Arial"/>
        </w:rPr>
        <w:t xml:space="preserve"> quota 50 milioni </w:t>
      </w:r>
      <w:r w:rsidR="00032527">
        <w:rPr>
          <w:rFonts w:ascii="Verdana" w:hAnsi="Verdana" w:cs="Arial"/>
        </w:rPr>
        <w:t>per una</w:t>
      </w:r>
      <w:r w:rsidR="00D73411" w:rsidRPr="00FD2201">
        <w:rPr>
          <w:rFonts w:ascii="Verdana" w:hAnsi="Verdana" w:cs="Arial"/>
        </w:rPr>
        <w:t xml:space="preserve"> spesa </w:t>
      </w:r>
      <w:r w:rsidR="00032527">
        <w:rPr>
          <w:rFonts w:ascii="Verdana" w:hAnsi="Verdana" w:cs="Arial"/>
        </w:rPr>
        <w:t>di oltre</w:t>
      </w:r>
      <w:r w:rsidR="00D73411" w:rsidRPr="00FD2201">
        <w:rPr>
          <w:rFonts w:ascii="Verdana" w:hAnsi="Verdana" w:cs="Arial"/>
        </w:rPr>
        <w:t xml:space="preserve"> </w:t>
      </w:r>
      <w:r w:rsidR="00D73411" w:rsidRPr="00FD2201">
        <w:rPr>
          <w:rFonts w:ascii="Verdana" w:hAnsi="Verdana" w:cs="Arial"/>
          <w:bCs/>
        </w:rPr>
        <w:t>34 miliardi di euro</w:t>
      </w:r>
      <w:r w:rsidR="00D73411" w:rsidRPr="00FD2201">
        <w:rPr>
          <w:rFonts w:ascii="Verdana" w:hAnsi="Verdana" w:cs="Arial"/>
        </w:rPr>
        <w:t>.</w:t>
      </w:r>
    </w:p>
    <w:p w:rsidR="000A08DA" w:rsidRPr="00FD2201" w:rsidRDefault="00D73411" w:rsidP="00E60A64">
      <w:pPr>
        <w:pStyle w:val="Pidipagina"/>
        <w:jc w:val="both"/>
        <w:rPr>
          <w:rFonts w:ascii="Verdana" w:hAnsi="Verdana" w:cs="Arial"/>
        </w:rPr>
      </w:pPr>
      <w:r w:rsidRPr="00FD2201">
        <w:rPr>
          <w:rFonts w:ascii="Verdana" w:hAnsi="Verdana" w:cs="Arial"/>
        </w:rPr>
        <w:t xml:space="preserve">Il turismo straniero è stato decisivo anche in termini di impatto sulla bilancia commerciale guadagnando di diritto un posto tra le principali voci del </w:t>
      </w:r>
      <w:r w:rsidRPr="00FD2201">
        <w:rPr>
          <w:rFonts w:ascii="Verdana" w:hAnsi="Verdana" w:cs="Arial"/>
          <w:i/>
          <w:iCs/>
        </w:rPr>
        <w:t xml:space="preserve">made in </w:t>
      </w:r>
      <w:proofErr w:type="spellStart"/>
      <w:r w:rsidRPr="00FD2201">
        <w:rPr>
          <w:rFonts w:ascii="Verdana" w:hAnsi="Verdana" w:cs="Arial"/>
          <w:i/>
          <w:iCs/>
        </w:rPr>
        <w:t>Italy</w:t>
      </w:r>
      <w:proofErr w:type="spellEnd"/>
      <w:r w:rsidRPr="00FD2201">
        <w:rPr>
          <w:rFonts w:ascii="Verdana" w:hAnsi="Verdana" w:cs="Arial"/>
        </w:rPr>
        <w:t xml:space="preserve">. Il saldo cumulato tra entrate e uscite nel periodo 2008-2014 è stato, per questa voce, di </w:t>
      </w:r>
      <w:r w:rsidRPr="00FD2201">
        <w:rPr>
          <w:rFonts w:ascii="Verdana" w:hAnsi="Verdana" w:cs="Arial"/>
          <w:bCs/>
        </w:rPr>
        <w:t>76 miliardi di euro</w:t>
      </w:r>
      <w:r w:rsidRPr="00FD2201">
        <w:rPr>
          <w:rFonts w:ascii="Verdana" w:hAnsi="Verdana" w:cs="Arial"/>
        </w:rPr>
        <w:t>. La crescita del turismo internazionale non ha seguito la stessa traiettoria nelle diverse aree del Paese. Nel Mezzogiorno, dove si recano appena 12 stranieri su 100 in visita in Italia</w:t>
      </w:r>
      <w:r w:rsidR="00727D68">
        <w:rPr>
          <w:rFonts w:ascii="Verdana" w:hAnsi="Verdana" w:cs="Arial"/>
        </w:rPr>
        <w:t xml:space="preserve"> (Fig. 1)</w:t>
      </w:r>
      <w:r w:rsidRPr="00FD2201">
        <w:rPr>
          <w:rFonts w:ascii="Verdana" w:hAnsi="Verdana" w:cs="Arial"/>
        </w:rPr>
        <w:t xml:space="preserve">, la funzione compensatrice del turismo straniero non c’è stata o, se c’è stata, è risultata modesta. Solo il 10% dell’incremento del turismo straniero di questi ultimi anni ha interessato le destinazioni turistiche del </w:t>
      </w:r>
      <w:r w:rsidR="00761CD3">
        <w:rPr>
          <w:rFonts w:ascii="Verdana" w:hAnsi="Verdana" w:cs="Arial"/>
        </w:rPr>
        <w:t>S</w:t>
      </w:r>
      <w:r w:rsidRPr="00FD2201">
        <w:rPr>
          <w:rFonts w:ascii="Verdana" w:hAnsi="Verdana" w:cs="Arial"/>
        </w:rPr>
        <w:t>ud.</w:t>
      </w:r>
    </w:p>
    <w:p w:rsidR="00FA70B8" w:rsidRPr="00E60A64" w:rsidRDefault="00FA70B8" w:rsidP="004276E1">
      <w:pPr>
        <w:pStyle w:val="Pidipagina"/>
        <w:jc w:val="both"/>
        <w:rPr>
          <w:rFonts w:ascii="Verdana" w:hAnsi="Verdana" w:cs="Arial"/>
        </w:rPr>
      </w:pPr>
    </w:p>
    <w:p w:rsidR="00FA70B8" w:rsidRPr="00682D2C" w:rsidRDefault="00682D2C" w:rsidP="00FA70B8">
      <w:pPr>
        <w:pStyle w:val="Pidipagina"/>
        <w:jc w:val="both"/>
        <w:rPr>
          <w:rFonts w:ascii="Verdana" w:hAnsi="Verdana" w:cs="Arial"/>
          <w:b/>
          <w:bCs/>
          <w:sz w:val="20"/>
          <w:szCs w:val="20"/>
        </w:rPr>
      </w:pPr>
      <w:r w:rsidRPr="00682D2C">
        <w:rPr>
          <w:rFonts w:ascii="Verdana" w:hAnsi="Verdana" w:cs="Arial"/>
          <w:b/>
          <w:bCs/>
          <w:sz w:val="20"/>
          <w:szCs w:val="20"/>
        </w:rPr>
        <w:t xml:space="preserve">Fig. 1 - </w:t>
      </w:r>
      <w:r w:rsidR="00FA70B8" w:rsidRPr="00682D2C">
        <w:rPr>
          <w:rFonts w:ascii="Verdana" w:hAnsi="Verdana" w:cs="Arial"/>
          <w:b/>
          <w:bCs/>
          <w:sz w:val="20"/>
          <w:szCs w:val="20"/>
        </w:rPr>
        <w:t>Distribuzione percentuale degli arrivi per area geografica di destinazione 2013</w:t>
      </w:r>
    </w:p>
    <w:p w:rsidR="00FA70B8" w:rsidRDefault="00E60A64" w:rsidP="00FA70B8">
      <w:pPr>
        <w:pStyle w:val="Pidipagina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F31933C" wp14:editId="022FFEE3">
            <wp:extent cx="5104493" cy="318135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9084" cy="319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B8" w:rsidRPr="00E60A64" w:rsidRDefault="00FA70B8" w:rsidP="00FA70B8">
      <w:pPr>
        <w:pStyle w:val="Pidipagina"/>
        <w:jc w:val="both"/>
        <w:rPr>
          <w:rFonts w:ascii="Verdana" w:hAnsi="Verdana" w:cs="Arial"/>
          <w:i/>
          <w:iCs/>
          <w:sz w:val="18"/>
          <w:szCs w:val="18"/>
        </w:rPr>
      </w:pPr>
      <w:r w:rsidRPr="00E60A64">
        <w:rPr>
          <w:rFonts w:ascii="Verdana" w:hAnsi="Verdana" w:cs="Arial"/>
          <w:i/>
          <w:iCs/>
          <w:sz w:val="18"/>
          <w:szCs w:val="18"/>
        </w:rPr>
        <w:t>Fonte: elaborazione Confturismo su dati Istat</w:t>
      </w:r>
    </w:p>
    <w:p w:rsidR="00FA70B8" w:rsidRPr="00761CD3" w:rsidRDefault="00FA70B8" w:rsidP="00FA70B8">
      <w:pPr>
        <w:pStyle w:val="Pidipagina"/>
        <w:jc w:val="both"/>
        <w:rPr>
          <w:rFonts w:ascii="Verdana" w:hAnsi="Verdana" w:cs="Arial"/>
          <w:bCs/>
        </w:rPr>
      </w:pPr>
    </w:p>
    <w:p w:rsidR="00FA70B8" w:rsidRPr="00761CD3" w:rsidRDefault="00FA70B8" w:rsidP="00FA70B8">
      <w:pPr>
        <w:pStyle w:val="Pidipagina"/>
        <w:jc w:val="both"/>
        <w:rPr>
          <w:rFonts w:ascii="Verdana" w:hAnsi="Verdana" w:cs="Arial"/>
        </w:rPr>
      </w:pPr>
    </w:p>
    <w:p w:rsidR="00FA70B8" w:rsidRPr="00761CD3" w:rsidRDefault="00FA70B8" w:rsidP="00FD2201">
      <w:pPr>
        <w:pStyle w:val="Pidipagina"/>
        <w:jc w:val="both"/>
        <w:rPr>
          <w:rFonts w:ascii="Verdana" w:hAnsi="Verdana" w:cs="Arial"/>
          <w:b/>
          <w:bCs/>
        </w:rPr>
      </w:pPr>
      <w:r w:rsidRPr="00761CD3">
        <w:rPr>
          <w:rFonts w:ascii="Verdana" w:hAnsi="Verdana" w:cs="Arial"/>
          <w:b/>
          <w:bCs/>
        </w:rPr>
        <w:t>Il turismo internazionale in Italia, Spagna e Francia</w:t>
      </w:r>
    </w:p>
    <w:p w:rsidR="00FA70B8" w:rsidRPr="00430E07" w:rsidRDefault="00FA70B8" w:rsidP="00FD2201">
      <w:pPr>
        <w:pStyle w:val="Pidipagina"/>
        <w:jc w:val="both"/>
        <w:rPr>
          <w:rFonts w:ascii="Verdana" w:hAnsi="Verdana" w:cs="Arial"/>
          <w:bCs/>
        </w:rPr>
      </w:pPr>
    </w:p>
    <w:p w:rsidR="000A08DA" w:rsidRPr="00FD2201" w:rsidRDefault="00D73411" w:rsidP="00FD2201">
      <w:pPr>
        <w:pStyle w:val="Pidipagina"/>
        <w:jc w:val="both"/>
        <w:rPr>
          <w:rFonts w:ascii="Verdana" w:hAnsi="Verdana" w:cs="Arial"/>
        </w:rPr>
      </w:pPr>
      <w:r w:rsidRPr="00FD2201">
        <w:rPr>
          <w:rFonts w:ascii="Verdana" w:hAnsi="Verdana" w:cs="Arial"/>
        </w:rPr>
        <w:t>Dopo la flessione del 2009 il turismo internazionale verso l’Italia è cresciuto progressivamente. Anche nel corso dell’ultimo anno l’Italia registra un incremento degli arrivi che, sebbene modesto, contribuisce ad allungare la serie positiva</w:t>
      </w:r>
      <w:r w:rsidR="00761CD3">
        <w:rPr>
          <w:rFonts w:ascii="Verdana" w:hAnsi="Verdana" w:cs="Arial"/>
        </w:rPr>
        <w:t xml:space="preserve"> (Fig. 2)</w:t>
      </w:r>
      <w:r w:rsidR="00682D2C">
        <w:rPr>
          <w:rFonts w:ascii="Verdana" w:hAnsi="Verdana" w:cs="Arial"/>
        </w:rPr>
        <w:t>.</w:t>
      </w:r>
    </w:p>
    <w:p w:rsidR="000A08DA" w:rsidRDefault="00D73411" w:rsidP="00FD2201">
      <w:pPr>
        <w:pStyle w:val="Pidipagina"/>
        <w:jc w:val="both"/>
        <w:rPr>
          <w:rFonts w:ascii="Verdana" w:hAnsi="Verdana" w:cs="Arial"/>
        </w:rPr>
      </w:pPr>
      <w:r w:rsidRPr="00FD2201">
        <w:rPr>
          <w:rFonts w:ascii="Verdana" w:hAnsi="Verdana" w:cs="Arial"/>
        </w:rPr>
        <w:t>I 50 milioni di turisti stranieri in visita in Italia vengono principalmente dall’Europa ed in particolare da Germania, Francia e Regno Unito</w:t>
      </w:r>
      <w:r w:rsidR="00682D2C">
        <w:rPr>
          <w:rFonts w:ascii="Verdana" w:hAnsi="Verdana" w:cs="Arial"/>
        </w:rPr>
        <w:t>.</w:t>
      </w:r>
    </w:p>
    <w:p w:rsidR="000A08DA" w:rsidRPr="00FD2201" w:rsidRDefault="00D73411" w:rsidP="00FD2201">
      <w:pPr>
        <w:pStyle w:val="Pidipagina"/>
        <w:jc w:val="both"/>
        <w:rPr>
          <w:rFonts w:ascii="Verdana" w:hAnsi="Verdana" w:cs="Arial"/>
        </w:rPr>
      </w:pPr>
      <w:r w:rsidRPr="00FD2201">
        <w:rPr>
          <w:rFonts w:ascii="Verdana" w:hAnsi="Verdana" w:cs="Arial"/>
        </w:rPr>
        <w:t>Negli ultimi anni, tuttavia, il turismo extraeuropeo è aumentato significativamente ed oggi gli arrivi dagli Stati Uniti sono la seconda voce dell’</w:t>
      </w:r>
      <w:proofErr w:type="spellStart"/>
      <w:r w:rsidRPr="00FD2201">
        <w:rPr>
          <w:rFonts w:ascii="Verdana" w:hAnsi="Verdana" w:cs="Arial"/>
        </w:rPr>
        <w:t>incoming</w:t>
      </w:r>
      <w:proofErr w:type="spellEnd"/>
      <w:r w:rsidRPr="00FD2201">
        <w:rPr>
          <w:rFonts w:ascii="Verdana" w:hAnsi="Verdana" w:cs="Arial"/>
        </w:rPr>
        <w:t xml:space="preserve"> italiano</w:t>
      </w:r>
      <w:r w:rsidR="00761CD3">
        <w:rPr>
          <w:rFonts w:ascii="Verdana" w:hAnsi="Verdana" w:cs="Arial"/>
        </w:rPr>
        <w:t>.</w:t>
      </w:r>
    </w:p>
    <w:p w:rsidR="000A08DA" w:rsidRDefault="00D73411" w:rsidP="00FD2201">
      <w:pPr>
        <w:pStyle w:val="Pidipagina"/>
        <w:jc w:val="both"/>
        <w:rPr>
          <w:rFonts w:ascii="Verdana" w:hAnsi="Verdana" w:cs="Arial"/>
        </w:rPr>
      </w:pPr>
      <w:r w:rsidRPr="00FD2201">
        <w:rPr>
          <w:rFonts w:ascii="Verdana" w:hAnsi="Verdana" w:cs="Arial"/>
        </w:rPr>
        <w:t>L’Italia è soprattutto luogo di vacanza: solo due stranieri su dieci arrivano per motivi d’affari. Un valore che è sensibilmente maggiore per gli arrivi dai Paesi asiatici ed extra-UE</w:t>
      </w:r>
      <w:r w:rsidR="00761CD3">
        <w:rPr>
          <w:rFonts w:ascii="Verdana" w:hAnsi="Verdana" w:cs="Arial"/>
        </w:rPr>
        <w:t>.</w:t>
      </w:r>
    </w:p>
    <w:p w:rsidR="003C4872" w:rsidRDefault="003C4872" w:rsidP="00FD2201">
      <w:pPr>
        <w:pStyle w:val="Pidipagina"/>
        <w:jc w:val="both"/>
        <w:rPr>
          <w:rFonts w:ascii="Verdana" w:hAnsi="Verdana" w:cs="Arial"/>
        </w:rPr>
      </w:pPr>
    </w:p>
    <w:p w:rsidR="003C4872" w:rsidRDefault="003C4872" w:rsidP="00FD2201">
      <w:pPr>
        <w:pStyle w:val="Pidipagina"/>
        <w:jc w:val="both"/>
        <w:rPr>
          <w:rFonts w:ascii="Verdana" w:hAnsi="Verdana" w:cs="Arial"/>
        </w:rPr>
      </w:pPr>
    </w:p>
    <w:p w:rsidR="003C4872" w:rsidRDefault="003C4872" w:rsidP="00FD2201">
      <w:pPr>
        <w:pStyle w:val="Pidipagina"/>
        <w:jc w:val="both"/>
        <w:rPr>
          <w:rFonts w:ascii="Verdana" w:hAnsi="Verdana" w:cs="Arial"/>
        </w:rPr>
      </w:pPr>
    </w:p>
    <w:p w:rsidR="00FA70B8" w:rsidRPr="00761CD3" w:rsidRDefault="00761CD3" w:rsidP="00FD2201">
      <w:pPr>
        <w:pStyle w:val="Pidipagina"/>
        <w:jc w:val="both"/>
        <w:rPr>
          <w:rFonts w:ascii="Verdana" w:hAnsi="Verdana" w:cs="Arial"/>
          <w:b/>
          <w:bCs/>
          <w:sz w:val="20"/>
          <w:szCs w:val="20"/>
        </w:rPr>
      </w:pPr>
      <w:r w:rsidRPr="00761CD3">
        <w:rPr>
          <w:rFonts w:ascii="Verdana" w:hAnsi="Verdana" w:cs="Arial"/>
          <w:b/>
          <w:bCs/>
          <w:sz w:val="20"/>
          <w:szCs w:val="20"/>
        </w:rPr>
        <w:t xml:space="preserve">Fig. 2 - </w:t>
      </w:r>
      <w:r w:rsidR="00FA70B8" w:rsidRPr="00761CD3">
        <w:rPr>
          <w:rFonts w:ascii="Verdana" w:hAnsi="Verdana" w:cs="Arial"/>
          <w:b/>
          <w:bCs/>
          <w:sz w:val="20"/>
          <w:szCs w:val="20"/>
        </w:rPr>
        <w:t>Primi (o quasi) per arrivi internazionali</w:t>
      </w:r>
    </w:p>
    <w:p w:rsidR="00FD2201" w:rsidRDefault="00FD2201" w:rsidP="00FA70B8">
      <w:pPr>
        <w:pStyle w:val="Pidipagina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2423D5C4" wp14:editId="77F76673">
            <wp:extent cx="4943475" cy="3024484"/>
            <wp:effectExtent l="0" t="0" r="0" b="5080"/>
            <wp:docPr id="136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2183" cy="302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B8" w:rsidRPr="00E60A64" w:rsidRDefault="00FA70B8" w:rsidP="00FA70B8">
      <w:pPr>
        <w:pStyle w:val="Pidipagina"/>
        <w:jc w:val="both"/>
        <w:rPr>
          <w:rFonts w:ascii="Verdana" w:hAnsi="Verdana" w:cs="Arial"/>
          <w:i/>
          <w:iCs/>
          <w:sz w:val="18"/>
          <w:szCs w:val="18"/>
        </w:rPr>
      </w:pPr>
      <w:r w:rsidRPr="00E60A64">
        <w:rPr>
          <w:rFonts w:ascii="Verdana" w:hAnsi="Verdana" w:cs="Arial"/>
          <w:i/>
          <w:iCs/>
          <w:sz w:val="18"/>
          <w:szCs w:val="18"/>
        </w:rPr>
        <w:t xml:space="preserve">Fonte: elaborazione Confturismo su dati </w:t>
      </w:r>
      <w:proofErr w:type="spellStart"/>
      <w:r w:rsidRPr="00E60A64">
        <w:rPr>
          <w:rFonts w:ascii="Verdana" w:hAnsi="Verdana" w:cs="Arial"/>
          <w:i/>
          <w:iCs/>
          <w:sz w:val="18"/>
          <w:szCs w:val="18"/>
        </w:rPr>
        <w:t>Eurostat</w:t>
      </w:r>
      <w:proofErr w:type="spellEnd"/>
    </w:p>
    <w:p w:rsidR="00761CD3" w:rsidRPr="00FD2201" w:rsidRDefault="00761CD3" w:rsidP="00FD2201">
      <w:pPr>
        <w:pStyle w:val="Pidipagina"/>
        <w:jc w:val="both"/>
        <w:rPr>
          <w:rFonts w:ascii="Verdana" w:hAnsi="Verdana" w:cs="Arial"/>
          <w:bCs/>
        </w:rPr>
      </w:pPr>
    </w:p>
    <w:p w:rsidR="000A08DA" w:rsidRPr="00FD2201" w:rsidRDefault="00D73411" w:rsidP="00FD2201">
      <w:pPr>
        <w:pStyle w:val="Pidipagina"/>
        <w:jc w:val="both"/>
        <w:rPr>
          <w:rFonts w:ascii="Verdana" w:hAnsi="Verdana" w:cs="Arial"/>
        </w:rPr>
      </w:pPr>
      <w:r w:rsidRPr="00FD2201">
        <w:rPr>
          <w:rFonts w:ascii="Verdana" w:hAnsi="Verdana" w:cs="Arial"/>
        </w:rPr>
        <w:t xml:space="preserve">L’Italia non ha un problema di arrivi di turisti internazionali ma di entrate valutarie. Pur avendo un numero di turisti in linea con quello della Spagna e ben superiore a quello della Francia, le entrate sono </w:t>
      </w:r>
      <w:r w:rsidR="003C4872">
        <w:rPr>
          <w:rFonts w:ascii="Verdana" w:hAnsi="Verdana" w:cs="Arial"/>
        </w:rPr>
        <w:t>assai</w:t>
      </w:r>
      <w:r w:rsidRPr="00FD2201">
        <w:rPr>
          <w:rFonts w:ascii="Verdana" w:hAnsi="Verdana" w:cs="Arial"/>
        </w:rPr>
        <w:t xml:space="preserve"> più modeste. </w:t>
      </w:r>
    </w:p>
    <w:p w:rsidR="000A08DA" w:rsidRPr="00FD2201" w:rsidRDefault="00D73411" w:rsidP="00FD2201">
      <w:pPr>
        <w:pStyle w:val="Pidipagina"/>
        <w:jc w:val="both"/>
        <w:rPr>
          <w:rFonts w:ascii="Verdana" w:hAnsi="Verdana" w:cs="Arial"/>
        </w:rPr>
      </w:pPr>
      <w:r w:rsidRPr="00FD2201">
        <w:rPr>
          <w:rFonts w:ascii="Verdana" w:hAnsi="Verdana" w:cs="Arial"/>
        </w:rPr>
        <w:t xml:space="preserve">Nel 2014 il turismo straniero in Spagna ha generato entrate per </w:t>
      </w:r>
      <w:r w:rsidRPr="00FD2201">
        <w:rPr>
          <w:rFonts w:ascii="Verdana" w:hAnsi="Verdana" w:cs="Arial"/>
          <w:bCs/>
        </w:rPr>
        <w:t>49 miliardi di euro</w:t>
      </w:r>
      <w:r w:rsidRPr="00FD2201">
        <w:rPr>
          <w:rFonts w:ascii="Verdana" w:hAnsi="Verdana" w:cs="Arial"/>
        </w:rPr>
        <w:t xml:space="preserve">, in Francia per </w:t>
      </w:r>
      <w:r w:rsidRPr="00FD2201">
        <w:rPr>
          <w:rFonts w:ascii="Verdana" w:hAnsi="Verdana" w:cs="Arial"/>
          <w:bCs/>
        </w:rPr>
        <w:t xml:space="preserve">42 miliardi di euro </w:t>
      </w:r>
      <w:r w:rsidRPr="00FD2201">
        <w:rPr>
          <w:rFonts w:ascii="Verdana" w:hAnsi="Verdana" w:cs="Arial"/>
        </w:rPr>
        <w:t xml:space="preserve">ed in Italia per appena </w:t>
      </w:r>
      <w:r w:rsidRPr="00FD2201">
        <w:rPr>
          <w:rFonts w:ascii="Verdana" w:hAnsi="Verdana" w:cs="Arial"/>
          <w:bCs/>
        </w:rPr>
        <w:t>34</w:t>
      </w:r>
      <w:r w:rsidR="00761CD3">
        <w:rPr>
          <w:rFonts w:ascii="Verdana" w:hAnsi="Verdana" w:cs="Arial"/>
          <w:bCs/>
        </w:rPr>
        <w:t xml:space="preserve"> (Fig. 3)</w:t>
      </w:r>
      <w:r w:rsidRPr="00FD2201">
        <w:rPr>
          <w:rFonts w:ascii="Verdana" w:hAnsi="Verdana" w:cs="Arial"/>
        </w:rPr>
        <w:t>. Tenendo conto del fatto che le spese degli spagnoli all’estero sono state di 14 miliardi di euro a fronte dei 22 degli italiani gli effetti, in termini di saldi, mostrano l’enorme potenziale del turismo spagnolo.</w:t>
      </w:r>
    </w:p>
    <w:p w:rsidR="00FA70B8" w:rsidRPr="00FD2201" w:rsidRDefault="00FA70B8" w:rsidP="00FD2201">
      <w:pPr>
        <w:pStyle w:val="Pidipagina"/>
        <w:jc w:val="both"/>
        <w:rPr>
          <w:rFonts w:ascii="Verdana" w:hAnsi="Verdana" w:cs="Arial"/>
        </w:rPr>
      </w:pPr>
    </w:p>
    <w:p w:rsidR="00FA70B8" w:rsidRPr="00761CD3" w:rsidRDefault="00761CD3" w:rsidP="00FA70B8">
      <w:pPr>
        <w:pStyle w:val="Pidipagina"/>
        <w:jc w:val="both"/>
        <w:rPr>
          <w:rFonts w:ascii="Verdana" w:hAnsi="Verdana" w:cs="Arial"/>
          <w:bCs/>
          <w:sz w:val="20"/>
          <w:szCs w:val="20"/>
        </w:rPr>
      </w:pPr>
      <w:r w:rsidRPr="00761CD3">
        <w:rPr>
          <w:rFonts w:ascii="Verdana" w:hAnsi="Verdana" w:cs="Arial"/>
          <w:b/>
          <w:bCs/>
          <w:sz w:val="20"/>
          <w:szCs w:val="20"/>
        </w:rPr>
        <w:t xml:space="preserve">Fig. 3 - </w:t>
      </w:r>
      <w:r w:rsidR="00FA70B8" w:rsidRPr="00761CD3">
        <w:rPr>
          <w:rFonts w:ascii="Verdana" w:hAnsi="Verdana" w:cs="Arial"/>
          <w:b/>
          <w:bCs/>
          <w:sz w:val="20"/>
          <w:szCs w:val="20"/>
        </w:rPr>
        <w:t xml:space="preserve">Terzi per entrate valutarie </w:t>
      </w:r>
      <w:r w:rsidR="00FA70B8" w:rsidRPr="00761CD3">
        <w:rPr>
          <w:rFonts w:ascii="Verdana" w:hAnsi="Verdana" w:cs="Arial"/>
          <w:bCs/>
          <w:sz w:val="20"/>
          <w:szCs w:val="20"/>
        </w:rPr>
        <w:t>(milioni di euro correnti)</w:t>
      </w:r>
    </w:p>
    <w:p w:rsidR="00FD2201" w:rsidRDefault="00FD2201" w:rsidP="00FA70B8">
      <w:pPr>
        <w:pStyle w:val="Pidipagina"/>
        <w:jc w:val="both"/>
        <w:rPr>
          <w:rFonts w:ascii="Verdana" w:hAnsi="Verdana" w:cs="Arial"/>
          <w:b/>
          <w:bCs/>
        </w:rPr>
      </w:pPr>
      <w:r>
        <w:rPr>
          <w:noProof/>
          <w:lang w:eastAsia="it-IT"/>
        </w:rPr>
        <w:drawing>
          <wp:inline distT="0" distB="0" distL="0" distR="0" wp14:anchorId="0C175090" wp14:editId="4590E942">
            <wp:extent cx="4943475" cy="2759760"/>
            <wp:effectExtent l="0" t="0" r="0" b="2540"/>
            <wp:docPr id="135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9888" cy="275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B8" w:rsidRPr="00E60A64" w:rsidRDefault="00FA70B8" w:rsidP="00FA70B8">
      <w:pPr>
        <w:pStyle w:val="Pidipagina"/>
        <w:jc w:val="both"/>
        <w:rPr>
          <w:rFonts w:ascii="Verdana" w:hAnsi="Verdana" w:cs="Arial"/>
          <w:i/>
          <w:iCs/>
          <w:sz w:val="18"/>
          <w:szCs w:val="18"/>
        </w:rPr>
      </w:pPr>
      <w:r w:rsidRPr="00E60A64">
        <w:rPr>
          <w:rFonts w:ascii="Verdana" w:hAnsi="Verdana" w:cs="Arial"/>
          <w:i/>
          <w:iCs/>
          <w:sz w:val="18"/>
          <w:szCs w:val="18"/>
        </w:rPr>
        <w:t xml:space="preserve">Fonte: elaborazione Confturismo su dati Banca d’Italia, Banco de </w:t>
      </w:r>
      <w:proofErr w:type="spellStart"/>
      <w:r w:rsidR="003C4872" w:rsidRPr="00E60A64">
        <w:rPr>
          <w:rFonts w:ascii="Verdana" w:hAnsi="Verdana" w:cs="Arial"/>
          <w:i/>
          <w:iCs/>
          <w:sz w:val="18"/>
          <w:szCs w:val="18"/>
        </w:rPr>
        <w:t>Espa</w:t>
      </w:r>
      <w:r w:rsidR="003C4872">
        <w:rPr>
          <w:rFonts w:ascii="Times New Roman" w:hAnsi="Times New Roman" w:cs="Times New Roman"/>
          <w:i/>
          <w:iCs/>
          <w:sz w:val="18"/>
          <w:szCs w:val="18"/>
        </w:rPr>
        <w:t>ñ</w:t>
      </w:r>
      <w:r w:rsidR="003C4872" w:rsidRPr="00E60A64">
        <w:rPr>
          <w:rFonts w:ascii="Verdana" w:hAnsi="Verdana" w:cs="Arial"/>
          <w:i/>
          <w:iCs/>
          <w:sz w:val="18"/>
          <w:szCs w:val="18"/>
        </w:rPr>
        <w:t>a</w:t>
      </w:r>
      <w:proofErr w:type="spellEnd"/>
      <w:r w:rsidRPr="00E60A64">
        <w:rPr>
          <w:rFonts w:ascii="Verdana" w:hAnsi="Verdana" w:cs="Arial"/>
          <w:i/>
          <w:iCs/>
          <w:sz w:val="18"/>
          <w:szCs w:val="18"/>
        </w:rPr>
        <w:t xml:space="preserve">, </w:t>
      </w:r>
      <w:proofErr w:type="spellStart"/>
      <w:r w:rsidRPr="00E60A64">
        <w:rPr>
          <w:rFonts w:ascii="Verdana" w:hAnsi="Verdana" w:cs="Arial"/>
          <w:i/>
          <w:iCs/>
          <w:sz w:val="18"/>
          <w:szCs w:val="18"/>
        </w:rPr>
        <w:t>Banque</w:t>
      </w:r>
      <w:proofErr w:type="spellEnd"/>
      <w:r w:rsidRPr="00E60A64">
        <w:rPr>
          <w:rFonts w:ascii="Verdana" w:hAnsi="Verdana" w:cs="Arial"/>
          <w:i/>
          <w:iCs/>
          <w:sz w:val="18"/>
          <w:szCs w:val="18"/>
        </w:rPr>
        <w:t xml:space="preserve"> de France</w:t>
      </w:r>
    </w:p>
    <w:p w:rsidR="00E02A21" w:rsidRDefault="00E02A21" w:rsidP="00FD2201">
      <w:pPr>
        <w:pStyle w:val="Pidipagina"/>
        <w:jc w:val="both"/>
        <w:rPr>
          <w:rFonts w:ascii="Verdana" w:hAnsi="Verdana" w:cs="Arial"/>
        </w:rPr>
      </w:pPr>
    </w:p>
    <w:p w:rsidR="000A08DA" w:rsidRPr="00FD2201" w:rsidRDefault="00D73411" w:rsidP="00FD2201">
      <w:pPr>
        <w:pStyle w:val="Pidipagina"/>
        <w:jc w:val="both"/>
        <w:rPr>
          <w:rFonts w:ascii="Verdana" w:hAnsi="Verdana" w:cs="Arial"/>
        </w:rPr>
      </w:pPr>
      <w:r w:rsidRPr="00FD2201">
        <w:rPr>
          <w:rFonts w:ascii="Verdana" w:hAnsi="Verdana" w:cs="Arial"/>
        </w:rPr>
        <w:t xml:space="preserve">La spesa degli stranieri vale in Spagna </w:t>
      </w:r>
      <w:r w:rsidRPr="00FD2201">
        <w:rPr>
          <w:rFonts w:ascii="Verdana" w:hAnsi="Verdana" w:cs="Arial"/>
          <w:bCs/>
        </w:rPr>
        <w:t xml:space="preserve">959 euro </w:t>
      </w:r>
      <w:r w:rsidRPr="00FD2201">
        <w:rPr>
          <w:rFonts w:ascii="Verdana" w:hAnsi="Verdana" w:cs="Arial"/>
        </w:rPr>
        <w:t xml:space="preserve">per arrivo, in Francia </w:t>
      </w:r>
      <w:r w:rsidRPr="00FD2201">
        <w:rPr>
          <w:rFonts w:ascii="Verdana" w:hAnsi="Verdana" w:cs="Arial"/>
          <w:bCs/>
        </w:rPr>
        <w:t>914 euro</w:t>
      </w:r>
      <w:r w:rsidRPr="00FD2201">
        <w:rPr>
          <w:rFonts w:ascii="Verdana" w:hAnsi="Verdana" w:cs="Arial"/>
        </w:rPr>
        <w:t xml:space="preserve">, in Italia </w:t>
      </w:r>
      <w:r w:rsidRPr="00FD2201">
        <w:rPr>
          <w:rFonts w:ascii="Verdana" w:hAnsi="Verdana" w:cs="Arial"/>
          <w:bCs/>
        </w:rPr>
        <w:t>681</w:t>
      </w:r>
      <w:r w:rsidR="00761CD3">
        <w:rPr>
          <w:rFonts w:ascii="Verdana" w:hAnsi="Verdana" w:cs="Arial"/>
          <w:bCs/>
        </w:rPr>
        <w:t xml:space="preserve"> </w:t>
      </w:r>
      <w:r w:rsidR="00761CD3">
        <w:rPr>
          <w:rFonts w:ascii="Verdana" w:hAnsi="Verdana" w:cs="Arial"/>
        </w:rPr>
        <w:t>(Fig. 4)</w:t>
      </w:r>
      <w:r w:rsidRPr="00FD2201">
        <w:rPr>
          <w:rFonts w:ascii="Verdana" w:hAnsi="Verdana" w:cs="Arial"/>
        </w:rPr>
        <w:t>.</w:t>
      </w:r>
      <w:r w:rsidR="00E02A21">
        <w:rPr>
          <w:rFonts w:ascii="Verdana" w:hAnsi="Verdana" w:cs="Arial"/>
        </w:rPr>
        <w:t xml:space="preserve"> </w:t>
      </w:r>
      <w:r w:rsidRPr="00FD2201">
        <w:rPr>
          <w:rFonts w:ascii="Verdana" w:hAnsi="Verdana" w:cs="Arial"/>
        </w:rPr>
        <w:t>In termini di spesa per p</w:t>
      </w:r>
      <w:r w:rsidR="00E02A21">
        <w:rPr>
          <w:rFonts w:ascii="Verdana" w:hAnsi="Verdana" w:cs="Arial"/>
        </w:rPr>
        <w:t>ernottamento</w:t>
      </w:r>
      <w:r w:rsidRPr="00FD2201">
        <w:rPr>
          <w:rFonts w:ascii="Verdana" w:hAnsi="Verdana" w:cs="Arial"/>
        </w:rPr>
        <w:t xml:space="preserve"> le distanze, soprattutto tra Spagna ed Italia, divengono modeste (appena 4 euro) ad indicare che in Italia il problema non sta nella propensione alla spesa ma nella durata del soggiorno. Nella direzione opposta va il turismo internazionale in Francia: meno arrivi, poche (relativamente parlando) presenze, elevata spesa per presenza. </w:t>
      </w:r>
    </w:p>
    <w:p w:rsidR="000A08DA" w:rsidRPr="00FD2201" w:rsidRDefault="00D73411" w:rsidP="00FD2201">
      <w:pPr>
        <w:pStyle w:val="Pidipagina"/>
        <w:jc w:val="both"/>
        <w:rPr>
          <w:rFonts w:ascii="Verdana" w:hAnsi="Verdana" w:cs="Arial"/>
        </w:rPr>
      </w:pPr>
      <w:r w:rsidRPr="00FD2201">
        <w:rPr>
          <w:rFonts w:ascii="Verdana" w:hAnsi="Verdana" w:cs="Arial"/>
        </w:rPr>
        <w:lastRenderedPageBreak/>
        <w:t>Il modello francese appare basato sulla capacità di attrazione di un turista ad alta capacità di spesa. Il 60% delle presenze turistiche straniere si realizza in due aree che godono di un elevato posizionamento di mercato: Parigi e Costa Azzurra. E i Paesi che generano i principali flussi verso la Francia sono Germania, Regno Unito, Belgio ed Italia.</w:t>
      </w:r>
    </w:p>
    <w:p w:rsidR="000A08DA" w:rsidRDefault="00D73411" w:rsidP="00FD2201">
      <w:pPr>
        <w:pStyle w:val="Pidipagina"/>
        <w:jc w:val="both"/>
        <w:rPr>
          <w:rFonts w:ascii="Verdana" w:hAnsi="Verdana" w:cs="Arial"/>
        </w:rPr>
      </w:pPr>
      <w:r w:rsidRPr="00FD2201">
        <w:rPr>
          <w:rFonts w:ascii="Verdana" w:hAnsi="Verdana" w:cs="Arial"/>
        </w:rPr>
        <w:t xml:space="preserve">Il modello spagnolo è più segmentato. Al sistema turistico orientale (Catalogna, area di Valencia e Baleari), si affianca la parte </w:t>
      </w:r>
      <w:r w:rsidR="00E02A21">
        <w:rPr>
          <w:rFonts w:ascii="Verdana" w:hAnsi="Verdana" w:cs="Arial"/>
        </w:rPr>
        <w:t>S</w:t>
      </w:r>
      <w:r w:rsidRPr="00FD2201">
        <w:rPr>
          <w:rFonts w:ascii="Verdana" w:hAnsi="Verdana" w:cs="Arial"/>
        </w:rPr>
        <w:t>ud con Andalusia e Canarie. In queste regioni si concentra oltre il 90% del turismo straniero in Spagna. Meno di 10 milioni di presenze si riversano nell’area della capitale. I principali flussi di visitatori stranieri provengono da Regno Unito, Germania e Francia.</w:t>
      </w:r>
    </w:p>
    <w:p w:rsidR="00FD2201" w:rsidRDefault="00FD2201" w:rsidP="00761CD3">
      <w:pPr>
        <w:spacing w:after="0"/>
        <w:rPr>
          <w:rFonts w:ascii="Verdana" w:hAnsi="Verdana" w:cs="Arial"/>
        </w:rPr>
      </w:pPr>
    </w:p>
    <w:p w:rsidR="00FA70B8" w:rsidRPr="00761CD3" w:rsidRDefault="00761CD3" w:rsidP="00761CD3">
      <w:pPr>
        <w:pStyle w:val="Pidipagina"/>
        <w:jc w:val="both"/>
        <w:rPr>
          <w:rFonts w:ascii="Verdana" w:hAnsi="Verdana" w:cs="Arial"/>
          <w:sz w:val="20"/>
          <w:szCs w:val="20"/>
        </w:rPr>
      </w:pPr>
      <w:r w:rsidRPr="00761CD3">
        <w:rPr>
          <w:rFonts w:ascii="Verdana" w:hAnsi="Verdana" w:cs="Arial"/>
          <w:b/>
          <w:bCs/>
          <w:sz w:val="20"/>
          <w:szCs w:val="20"/>
        </w:rPr>
        <w:t xml:space="preserve">Fig. 4 - </w:t>
      </w:r>
      <w:r w:rsidR="00E60A64" w:rsidRPr="00761CD3">
        <w:rPr>
          <w:rFonts w:ascii="Verdana" w:hAnsi="Verdana" w:cs="Arial"/>
          <w:b/>
          <w:bCs/>
          <w:sz w:val="20"/>
          <w:szCs w:val="20"/>
        </w:rPr>
        <w:t>I</w:t>
      </w:r>
      <w:r w:rsidR="00FA70B8" w:rsidRPr="00761CD3">
        <w:rPr>
          <w:rFonts w:ascii="Verdana" w:hAnsi="Verdana" w:cs="Arial"/>
          <w:b/>
          <w:bCs/>
          <w:sz w:val="20"/>
          <w:szCs w:val="20"/>
        </w:rPr>
        <w:t xml:space="preserve">n Italia gli stranieri spendono meno </w:t>
      </w:r>
      <w:r w:rsidR="00FA70B8" w:rsidRPr="00761CD3">
        <w:rPr>
          <w:rFonts w:ascii="Verdana" w:hAnsi="Verdana" w:cs="Arial"/>
          <w:bCs/>
          <w:sz w:val="20"/>
          <w:szCs w:val="20"/>
        </w:rPr>
        <w:t>(valori in euro – anno 2014)</w:t>
      </w:r>
    </w:p>
    <w:p w:rsidR="00E60A64" w:rsidRPr="00682D2C" w:rsidRDefault="00E60A64" w:rsidP="00FA70B8">
      <w:pPr>
        <w:pStyle w:val="Pidipagina"/>
        <w:jc w:val="both"/>
        <w:rPr>
          <w:rFonts w:ascii="Verdana" w:hAnsi="Verdana" w:cs="Arial"/>
          <w:sz w:val="24"/>
          <w:szCs w:val="24"/>
        </w:rPr>
      </w:pPr>
    </w:p>
    <w:p w:rsidR="00E60A64" w:rsidRDefault="00FD2201" w:rsidP="00FA70B8">
      <w:pPr>
        <w:pStyle w:val="Pidipagina"/>
        <w:jc w:val="both"/>
        <w:rPr>
          <w:rFonts w:ascii="Verdana" w:hAnsi="Verdana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82F5CAE" wp14:editId="1155DF03">
            <wp:extent cx="4848225" cy="3363419"/>
            <wp:effectExtent l="0" t="0" r="0" b="8890"/>
            <wp:docPr id="137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3038" cy="336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64" w:rsidRPr="00E60A64" w:rsidRDefault="00E60A64" w:rsidP="00E60A64">
      <w:pPr>
        <w:pStyle w:val="Pidipagina"/>
        <w:jc w:val="both"/>
        <w:rPr>
          <w:rFonts w:ascii="Verdana" w:hAnsi="Verdana" w:cs="Arial"/>
          <w:sz w:val="18"/>
          <w:szCs w:val="18"/>
        </w:rPr>
      </w:pPr>
      <w:r w:rsidRPr="00E60A64">
        <w:rPr>
          <w:rFonts w:ascii="Verdana" w:hAnsi="Verdana" w:cs="Arial"/>
          <w:i/>
          <w:iCs/>
          <w:sz w:val="18"/>
          <w:szCs w:val="18"/>
        </w:rPr>
        <w:t xml:space="preserve">Fonte: elaborazione Confturismo su dati Banca d’Italia, Banco de </w:t>
      </w:r>
      <w:proofErr w:type="spellStart"/>
      <w:r w:rsidRPr="00E60A64">
        <w:rPr>
          <w:rFonts w:ascii="Verdana" w:hAnsi="Verdana" w:cs="Arial"/>
          <w:i/>
          <w:iCs/>
          <w:sz w:val="18"/>
          <w:szCs w:val="18"/>
        </w:rPr>
        <w:t>Espa</w:t>
      </w:r>
      <w:r w:rsidR="00682D2C">
        <w:rPr>
          <w:rFonts w:ascii="Times New Roman" w:hAnsi="Times New Roman" w:cs="Times New Roman"/>
          <w:i/>
          <w:iCs/>
          <w:sz w:val="18"/>
          <w:szCs w:val="18"/>
        </w:rPr>
        <w:t>ñ</w:t>
      </w:r>
      <w:r w:rsidRPr="00E60A64">
        <w:rPr>
          <w:rFonts w:ascii="Verdana" w:hAnsi="Verdana" w:cs="Arial"/>
          <w:i/>
          <w:iCs/>
          <w:sz w:val="18"/>
          <w:szCs w:val="18"/>
        </w:rPr>
        <w:t>a</w:t>
      </w:r>
      <w:proofErr w:type="spellEnd"/>
      <w:r w:rsidRPr="00E60A64">
        <w:rPr>
          <w:rFonts w:ascii="Verdana" w:hAnsi="Verdana" w:cs="Arial"/>
          <w:i/>
          <w:iCs/>
          <w:sz w:val="18"/>
          <w:szCs w:val="18"/>
        </w:rPr>
        <w:t xml:space="preserve">, </w:t>
      </w:r>
      <w:proofErr w:type="spellStart"/>
      <w:r w:rsidRPr="00E60A64">
        <w:rPr>
          <w:rFonts w:ascii="Verdana" w:hAnsi="Verdana" w:cs="Arial"/>
          <w:i/>
          <w:iCs/>
          <w:sz w:val="18"/>
          <w:szCs w:val="18"/>
        </w:rPr>
        <w:t>Banque</w:t>
      </w:r>
      <w:proofErr w:type="spellEnd"/>
      <w:r w:rsidRPr="00E60A64">
        <w:rPr>
          <w:rFonts w:ascii="Verdana" w:hAnsi="Verdana" w:cs="Arial"/>
          <w:i/>
          <w:iCs/>
          <w:sz w:val="18"/>
          <w:szCs w:val="18"/>
        </w:rPr>
        <w:t xml:space="preserve"> de France, </w:t>
      </w:r>
      <w:proofErr w:type="spellStart"/>
      <w:r w:rsidRPr="00E60A64">
        <w:rPr>
          <w:rFonts w:ascii="Verdana" w:hAnsi="Verdana" w:cs="Arial"/>
          <w:i/>
          <w:iCs/>
          <w:sz w:val="18"/>
          <w:szCs w:val="18"/>
        </w:rPr>
        <w:t>Eurostat</w:t>
      </w:r>
      <w:proofErr w:type="spellEnd"/>
    </w:p>
    <w:p w:rsidR="00430E07" w:rsidRPr="00682D2C" w:rsidRDefault="00430E07" w:rsidP="00FA70B8">
      <w:pPr>
        <w:pStyle w:val="Pidipagina"/>
        <w:jc w:val="both"/>
        <w:rPr>
          <w:rFonts w:ascii="Verdana" w:hAnsi="Verdana" w:cs="Arial"/>
        </w:rPr>
      </w:pPr>
    </w:p>
    <w:p w:rsidR="000A08DA" w:rsidRPr="00682D2C" w:rsidRDefault="00D73411" w:rsidP="00682D2C">
      <w:pPr>
        <w:pStyle w:val="Pidipagina"/>
        <w:jc w:val="both"/>
        <w:rPr>
          <w:rFonts w:ascii="Verdana" w:hAnsi="Verdana" w:cs="Arial"/>
        </w:rPr>
      </w:pPr>
      <w:r w:rsidRPr="00682D2C">
        <w:rPr>
          <w:rFonts w:ascii="Verdana" w:hAnsi="Verdana" w:cs="Arial"/>
        </w:rPr>
        <w:t>A ben vedere le differenze tra i modelli di turismo di Italia, Spagna e Francia hanno un evidente riflesso sulla permanenza media. In Spagna siamo stabilmente intorno ai cinque giorni, in Italia a meno di quattro ed in Francia a meno di 3.</w:t>
      </w:r>
    </w:p>
    <w:p w:rsidR="000A08DA" w:rsidRPr="00682D2C" w:rsidRDefault="00D73411" w:rsidP="00682D2C">
      <w:pPr>
        <w:pStyle w:val="Pidipagina"/>
        <w:jc w:val="both"/>
        <w:rPr>
          <w:rFonts w:ascii="Verdana" w:hAnsi="Verdana" w:cs="Arial"/>
        </w:rPr>
      </w:pPr>
      <w:r w:rsidRPr="00682D2C">
        <w:rPr>
          <w:rFonts w:ascii="Verdana" w:hAnsi="Verdana" w:cs="Arial"/>
        </w:rPr>
        <w:t xml:space="preserve">Se il turismo straniero in Italia toccasse il livello di permanenza media della Spagna le entrate valutarie salirebbero di </w:t>
      </w:r>
      <w:r w:rsidRPr="00682D2C">
        <w:rPr>
          <w:rFonts w:ascii="Verdana" w:hAnsi="Verdana" w:cs="Arial"/>
          <w:bCs/>
        </w:rPr>
        <w:t>14 miliardi di euro</w:t>
      </w:r>
      <w:r w:rsidRPr="00682D2C">
        <w:rPr>
          <w:rFonts w:ascii="Verdana" w:hAnsi="Verdana" w:cs="Arial"/>
        </w:rPr>
        <w:t xml:space="preserve"> raggiungendo la </w:t>
      </w:r>
      <w:proofErr w:type="spellStart"/>
      <w:r w:rsidRPr="00682D2C">
        <w:rPr>
          <w:rFonts w:ascii="Verdana" w:hAnsi="Verdana" w:cs="Arial"/>
          <w:i/>
          <w:iCs/>
        </w:rPr>
        <w:t>perfomance</w:t>
      </w:r>
      <w:proofErr w:type="spellEnd"/>
      <w:r w:rsidRPr="00682D2C">
        <w:rPr>
          <w:rFonts w:ascii="Verdana" w:hAnsi="Verdana" w:cs="Arial"/>
        </w:rPr>
        <w:t xml:space="preserve"> dell’export turistico spagnolo.</w:t>
      </w:r>
      <w:r w:rsidR="00682D2C">
        <w:rPr>
          <w:rFonts w:ascii="Verdana" w:hAnsi="Verdana" w:cs="Arial"/>
        </w:rPr>
        <w:t xml:space="preserve"> </w:t>
      </w:r>
      <w:r w:rsidRPr="00682D2C">
        <w:rPr>
          <w:rFonts w:ascii="Verdana" w:hAnsi="Verdana" w:cs="Arial"/>
        </w:rPr>
        <w:t>Sarebbe già un ottimo risultato un obiettivo intermedio, ossia l’incremento del 20% della permanenza media a 4,4 giorni per turista. Gli effetti sulle entrate valutarie sarebbero di +</w:t>
      </w:r>
      <w:r w:rsidRPr="00682D2C">
        <w:rPr>
          <w:rFonts w:ascii="Verdana" w:hAnsi="Verdana" w:cs="Arial"/>
          <w:bCs/>
        </w:rPr>
        <w:t>6,9 miliardi di euro</w:t>
      </w:r>
      <w:r w:rsidRPr="00682D2C">
        <w:rPr>
          <w:rFonts w:ascii="Verdana" w:hAnsi="Verdana" w:cs="Arial"/>
        </w:rPr>
        <w:t>.</w:t>
      </w:r>
    </w:p>
    <w:p w:rsidR="000A08DA" w:rsidRPr="00682D2C" w:rsidRDefault="00D73411" w:rsidP="00682D2C">
      <w:pPr>
        <w:pStyle w:val="Pidipagina"/>
        <w:jc w:val="both"/>
        <w:rPr>
          <w:rFonts w:ascii="Verdana" w:hAnsi="Verdana" w:cs="Arial"/>
        </w:rPr>
      </w:pPr>
      <w:r w:rsidRPr="00682D2C">
        <w:rPr>
          <w:rFonts w:ascii="Verdana" w:hAnsi="Verdana" w:cs="Arial"/>
        </w:rPr>
        <w:t>L’aumento della permanenza media non si realizza, tuttavia, a colpi di bacchetta magica. Occorre anzitutto capirne l’interazione con i diversi turismi e con le diverse aree turistiche.</w:t>
      </w:r>
    </w:p>
    <w:p w:rsidR="000A08DA" w:rsidRPr="00682D2C" w:rsidRDefault="00D73411" w:rsidP="00682D2C">
      <w:pPr>
        <w:pStyle w:val="Pidipagina"/>
        <w:jc w:val="both"/>
        <w:rPr>
          <w:rFonts w:ascii="Verdana" w:hAnsi="Verdana" w:cs="Arial"/>
        </w:rPr>
      </w:pPr>
      <w:r w:rsidRPr="00682D2C">
        <w:rPr>
          <w:rFonts w:ascii="Verdana" w:hAnsi="Verdana" w:cs="Arial"/>
        </w:rPr>
        <w:t>Sul primo aspetto risulta evidente che i turismi balneari e montano sono quelli che allungano maggiormente la permanenza</w:t>
      </w:r>
      <w:r w:rsidR="00761CD3">
        <w:rPr>
          <w:rFonts w:ascii="Verdana" w:hAnsi="Verdana" w:cs="Arial"/>
        </w:rPr>
        <w:t xml:space="preserve"> (Fig. 5)</w:t>
      </w:r>
      <w:r w:rsidR="00727D68">
        <w:rPr>
          <w:rFonts w:ascii="Verdana" w:hAnsi="Verdana" w:cs="Arial"/>
        </w:rPr>
        <w:t xml:space="preserve"> pur in presenza di una spesa media per pernottamento più contenuta</w:t>
      </w:r>
      <w:r w:rsidRPr="00682D2C">
        <w:rPr>
          <w:rFonts w:ascii="Verdana" w:hAnsi="Verdana" w:cs="Arial"/>
        </w:rPr>
        <w:t>. Il turismo culturale è, invece, più orientato a soggiorni brevi, mediamente al di sotto dei tre giorni</w:t>
      </w:r>
      <w:r w:rsidR="00727D68">
        <w:rPr>
          <w:rFonts w:ascii="Verdana" w:hAnsi="Verdana" w:cs="Arial"/>
        </w:rPr>
        <w:t xml:space="preserve"> ma con una spesa media solitamente più elevata</w:t>
      </w:r>
      <w:r w:rsidRPr="00682D2C">
        <w:rPr>
          <w:rFonts w:ascii="Verdana" w:hAnsi="Verdana" w:cs="Arial"/>
        </w:rPr>
        <w:t xml:space="preserve">. Non è una caratteristica del turismo culturale in l’Italia ma del turismo culturale </w:t>
      </w:r>
      <w:r w:rsidRPr="00682D2C">
        <w:rPr>
          <w:rFonts w:ascii="Verdana" w:hAnsi="Verdana" w:cs="Arial"/>
          <w:i/>
          <w:iCs/>
        </w:rPr>
        <w:t>tout court</w:t>
      </w:r>
      <w:r w:rsidRPr="00682D2C">
        <w:rPr>
          <w:rFonts w:ascii="Verdana" w:hAnsi="Verdana" w:cs="Arial"/>
        </w:rPr>
        <w:t>.</w:t>
      </w:r>
    </w:p>
    <w:p w:rsidR="00761CD3" w:rsidRDefault="00761CD3" w:rsidP="00761CD3">
      <w:pPr>
        <w:pStyle w:val="Pidipagina"/>
        <w:jc w:val="both"/>
        <w:rPr>
          <w:rFonts w:ascii="Verdana" w:hAnsi="Verdana" w:cs="Arial"/>
          <w:bCs/>
          <w:sz w:val="20"/>
          <w:szCs w:val="20"/>
        </w:rPr>
      </w:pPr>
      <w:r w:rsidRPr="00761CD3">
        <w:rPr>
          <w:rFonts w:ascii="Verdana" w:hAnsi="Verdana" w:cs="Arial"/>
          <w:b/>
          <w:bCs/>
          <w:sz w:val="20"/>
          <w:szCs w:val="20"/>
        </w:rPr>
        <w:t xml:space="preserve">Fig. 5 - Mare e montagna allungano la vacanza… permanenza media dei turisti stranieri in Italia per destinazione </w:t>
      </w:r>
      <w:r w:rsidRPr="00761CD3">
        <w:rPr>
          <w:rFonts w:ascii="Verdana" w:hAnsi="Verdana" w:cs="Arial"/>
          <w:bCs/>
          <w:sz w:val="20"/>
          <w:szCs w:val="20"/>
        </w:rPr>
        <w:t>(n. di giorni – anno 201</w:t>
      </w:r>
      <w:r w:rsidR="00430E07">
        <w:rPr>
          <w:rFonts w:ascii="Verdana" w:hAnsi="Verdana" w:cs="Arial"/>
          <w:bCs/>
          <w:sz w:val="20"/>
          <w:szCs w:val="20"/>
        </w:rPr>
        <w:t>3</w:t>
      </w:r>
      <w:r w:rsidRPr="00761CD3">
        <w:rPr>
          <w:rFonts w:ascii="Verdana" w:hAnsi="Verdana" w:cs="Arial"/>
          <w:bCs/>
          <w:sz w:val="20"/>
          <w:szCs w:val="20"/>
        </w:rPr>
        <w:t>)</w:t>
      </w:r>
    </w:p>
    <w:p w:rsidR="00761CD3" w:rsidRPr="00761CD3" w:rsidRDefault="00761CD3" w:rsidP="00761CD3">
      <w:pPr>
        <w:pStyle w:val="Pidipagina"/>
        <w:jc w:val="both"/>
        <w:rPr>
          <w:rFonts w:ascii="Verdana" w:hAnsi="Verdana" w:cs="Arial"/>
          <w:bCs/>
          <w:sz w:val="20"/>
          <w:szCs w:val="20"/>
        </w:rPr>
      </w:pPr>
    </w:p>
    <w:p w:rsidR="00761CD3" w:rsidRDefault="00761CD3" w:rsidP="00682D2C">
      <w:pPr>
        <w:pStyle w:val="Pidipagina"/>
        <w:jc w:val="both"/>
        <w:rPr>
          <w:rFonts w:ascii="Verdana" w:hAnsi="Verdana" w:cs="Arial"/>
        </w:rPr>
      </w:pPr>
      <w:r>
        <w:rPr>
          <w:noProof/>
          <w:lang w:eastAsia="it-IT"/>
        </w:rPr>
        <w:drawing>
          <wp:inline distT="0" distB="0" distL="0" distR="0" wp14:anchorId="1521E299" wp14:editId="4FFEC59F">
            <wp:extent cx="4467225" cy="2382520"/>
            <wp:effectExtent l="0" t="0" r="9525" b="0"/>
            <wp:docPr id="138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68316" cy="238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CD3" w:rsidRPr="00682D2C" w:rsidRDefault="00761CD3" w:rsidP="00761CD3">
      <w:pPr>
        <w:pStyle w:val="Pidipagina"/>
        <w:jc w:val="both"/>
        <w:rPr>
          <w:rFonts w:ascii="Verdana" w:hAnsi="Verdana" w:cs="Arial"/>
          <w:bCs/>
          <w:sz w:val="18"/>
          <w:szCs w:val="18"/>
        </w:rPr>
      </w:pPr>
      <w:r w:rsidRPr="00682D2C">
        <w:rPr>
          <w:rFonts w:ascii="Verdana" w:hAnsi="Verdana" w:cs="Arial"/>
          <w:bCs/>
          <w:i/>
          <w:iCs/>
          <w:sz w:val="18"/>
          <w:szCs w:val="18"/>
        </w:rPr>
        <w:t>Fonte: elaborazione Confturismo su dati Istat</w:t>
      </w:r>
    </w:p>
    <w:p w:rsidR="00761CD3" w:rsidRDefault="00761CD3" w:rsidP="00682D2C">
      <w:pPr>
        <w:pStyle w:val="Pidipagina"/>
        <w:jc w:val="both"/>
        <w:rPr>
          <w:rFonts w:ascii="Verdana" w:hAnsi="Verdana" w:cs="Arial"/>
        </w:rPr>
      </w:pPr>
    </w:p>
    <w:p w:rsidR="000A08DA" w:rsidRDefault="00D73411" w:rsidP="00682D2C">
      <w:pPr>
        <w:pStyle w:val="Pidipagina"/>
        <w:jc w:val="both"/>
        <w:rPr>
          <w:rFonts w:ascii="Verdana" w:hAnsi="Verdana" w:cs="Arial"/>
        </w:rPr>
      </w:pPr>
      <w:r w:rsidRPr="00682D2C">
        <w:rPr>
          <w:rFonts w:ascii="Verdana" w:hAnsi="Verdana" w:cs="Arial"/>
        </w:rPr>
        <w:t xml:space="preserve">Aumentare il numero di arrivi è un dato importante e su questo c’è il conforto del trend degli ultimi anni che, come abbiamo visto, ha fatto registrare un aumento di </w:t>
      </w:r>
      <w:r w:rsidRPr="00682D2C">
        <w:rPr>
          <w:rFonts w:ascii="Verdana" w:hAnsi="Verdana" w:cs="Arial"/>
          <w:bCs/>
        </w:rPr>
        <w:t xml:space="preserve">8 milioni di unità </w:t>
      </w:r>
      <w:r w:rsidRPr="00682D2C">
        <w:rPr>
          <w:rFonts w:ascii="Verdana" w:hAnsi="Verdana" w:cs="Arial"/>
        </w:rPr>
        <w:t>tra il 2008 ed il 2014.</w:t>
      </w:r>
      <w:r w:rsidR="00E02A21">
        <w:rPr>
          <w:rFonts w:ascii="Verdana" w:hAnsi="Verdana" w:cs="Arial"/>
        </w:rPr>
        <w:t xml:space="preserve"> </w:t>
      </w:r>
      <w:r w:rsidRPr="00682D2C">
        <w:rPr>
          <w:rFonts w:ascii="Verdana" w:hAnsi="Verdana" w:cs="Arial"/>
        </w:rPr>
        <w:t>Senza l’inversione del trend decrescente della spesa media per arrivo</w:t>
      </w:r>
      <w:r w:rsidR="00727D68">
        <w:rPr>
          <w:rFonts w:ascii="Verdana" w:hAnsi="Verdana" w:cs="Arial"/>
        </w:rPr>
        <w:t xml:space="preserve"> (744 euro nel 2008, 681 euro nel 2014)</w:t>
      </w:r>
      <w:r w:rsidRPr="00682D2C">
        <w:rPr>
          <w:rFonts w:ascii="Verdana" w:hAnsi="Verdana" w:cs="Arial"/>
        </w:rPr>
        <w:t>, strettamente connessa al numero di giornate del soggiorno e dunque alla permanenza media, i buoni risultati sulla capacità dell’Italia di attrarre nuovi turisti non riusciranno a tradursi in termini altrettanto positivi sulla bilancia valutaria.</w:t>
      </w:r>
      <w:r w:rsidR="00E02A21">
        <w:rPr>
          <w:rFonts w:ascii="Verdana" w:hAnsi="Verdana" w:cs="Arial"/>
        </w:rPr>
        <w:t xml:space="preserve"> </w:t>
      </w:r>
      <w:r w:rsidRPr="00682D2C">
        <w:rPr>
          <w:rFonts w:ascii="Verdana" w:hAnsi="Verdana" w:cs="Arial"/>
        </w:rPr>
        <w:t xml:space="preserve">In questo contesto diventa fondamentale puntare su tutte le tipologie di turismo </w:t>
      </w:r>
      <w:r w:rsidR="00E02A21">
        <w:rPr>
          <w:rFonts w:ascii="Verdana" w:hAnsi="Verdana" w:cs="Arial"/>
        </w:rPr>
        <w:t xml:space="preserve">(Fig. 6) </w:t>
      </w:r>
      <w:r w:rsidRPr="00682D2C">
        <w:rPr>
          <w:rFonts w:ascii="Verdana" w:hAnsi="Verdana" w:cs="Arial"/>
        </w:rPr>
        <w:t xml:space="preserve">che caratterizzano l’offerta italiana e sul potenziale di crescita del mezzogiorno che, con 6 milioni di arrivi sui 50 complessivi, dà la dimensione dello scarso utilizzo della sua capacità </w:t>
      </w:r>
      <w:r w:rsidR="00761CD3">
        <w:rPr>
          <w:rFonts w:ascii="Verdana" w:hAnsi="Verdana" w:cs="Arial"/>
        </w:rPr>
        <w:t>“</w:t>
      </w:r>
      <w:r w:rsidRPr="00682D2C">
        <w:rPr>
          <w:rFonts w:ascii="Verdana" w:hAnsi="Verdana" w:cs="Arial"/>
        </w:rPr>
        <w:t>attrattiva</w:t>
      </w:r>
      <w:r w:rsidR="00761CD3">
        <w:rPr>
          <w:rFonts w:ascii="Verdana" w:hAnsi="Verdana" w:cs="Arial"/>
        </w:rPr>
        <w:t>”</w:t>
      </w:r>
      <w:r w:rsidRPr="00682D2C">
        <w:rPr>
          <w:rFonts w:ascii="Verdana" w:hAnsi="Verdana" w:cs="Arial"/>
        </w:rPr>
        <w:t xml:space="preserve">. </w:t>
      </w:r>
    </w:p>
    <w:p w:rsidR="00C03183" w:rsidRDefault="00C03183" w:rsidP="00682D2C">
      <w:pPr>
        <w:pStyle w:val="Pidipagina"/>
        <w:jc w:val="both"/>
        <w:rPr>
          <w:rFonts w:ascii="Verdana" w:hAnsi="Verdana" w:cs="Arial"/>
        </w:rPr>
      </w:pPr>
    </w:p>
    <w:p w:rsidR="00E02A21" w:rsidRDefault="00C03183" w:rsidP="00682D2C">
      <w:pPr>
        <w:pStyle w:val="Pidipagina"/>
        <w:jc w:val="both"/>
        <w:rPr>
          <w:rFonts w:ascii="Verdana" w:hAnsi="Verdana" w:cs="Arial"/>
          <w:sz w:val="20"/>
          <w:szCs w:val="20"/>
        </w:rPr>
      </w:pPr>
      <w:r w:rsidRPr="00E02A21">
        <w:rPr>
          <w:rFonts w:ascii="Verdana" w:hAnsi="Verdana" w:cs="Arial"/>
          <w:b/>
          <w:bCs/>
          <w:sz w:val="20"/>
          <w:szCs w:val="20"/>
        </w:rPr>
        <w:t>Fig. 6 - Arrivi e presenze straniere per destinazione turistica</w:t>
      </w:r>
      <w:r w:rsidR="00E02A21" w:rsidRPr="00E02A21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E02A21">
        <w:rPr>
          <w:rFonts w:ascii="Verdana" w:hAnsi="Verdana" w:cs="Arial"/>
          <w:sz w:val="20"/>
          <w:szCs w:val="20"/>
        </w:rPr>
        <w:t>(val. % - 2013)</w:t>
      </w:r>
    </w:p>
    <w:p w:rsidR="00857E24" w:rsidRDefault="00857E24" w:rsidP="00682D2C">
      <w:pPr>
        <w:pStyle w:val="Pidipagina"/>
        <w:jc w:val="both"/>
        <w:rPr>
          <w:rFonts w:ascii="Verdana" w:hAnsi="Verdana" w:cs="Arial"/>
          <w:sz w:val="20"/>
          <w:szCs w:val="20"/>
        </w:rPr>
      </w:pPr>
    </w:p>
    <w:p w:rsidR="00E02A21" w:rsidRPr="00E02A21" w:rsidRDefault="00857E24" w:rsidP="00682D2C">
      <w:pPr>
        <w:pStyle w:val="Pidipagina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6EDC1275" wp14:editId="6CC05B50">
            <wp:extent cx="4924425" cy="3500589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5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21" w:rsidRPr="00E60A64" w:rsidRDefault="00E02A21" w:rsidP="00E02A21">
      <w:pPr>
        <w:pStyle w:val="Pidipagina"/>
        <w:jc w:val="both"/>
        <w:rPr>
          <w:rFonts w:ascii="Verdana" w:hAnsi="Verdana" w:cs="Arial"/>
          <w:i/>
          <w:iCs/>
          <w:sz w:val="18"/>
          <w:szCs w:val="18"/>
        </w:rPr>
      </w:pPr>
      <w:r w:rsidRPr="00E60A64">
        <w:rPr>
          <w:rFonts w:ascii="Verdana" w:hAnsi="Verdana" w:cs="Arial"/>
          <w:i/>
          <w:iCs/>
          <w:sz w:val="18"/>
          <w:szCs w:val="18"/>
        </w:rPr>
        <w:t>Fonte: elaborazione Confturismo su dati Istat</w:t>
      </w:r>
    </w:p>
    <w:sectPr w:rsidR="00E02A21" w:rsidRPr="00E60A64" w:rsidSect="00682D2C"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EB" w:rsidRDefault="00615DEB" w:rsidP="00615DEB">
      <w:pPr>
        <w:spacing w:after="0" w:line="240" w:lineRule="auto"/>
      </w:pPr>
      <w:r>
        <w:separator/>
      </w:r>
    </w:p>
  </w:endnote>
  <w:endnote w:type="continuationSeparator" w:id="0">
    <w:p w:rsidR="00615DEB" w:rsidRDefault="00615DEB" w:rsidP="0061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893887"/>
      <w:docPartObj>
        <w:docPartGallery w:val="Page Numbers (Bottom of Page)"/>
        <w:docPartUnique/>
      </w:docPartObj>
    </w:sdtPr>
    <w:sdtEndPr/>
    <w:sdtContent>
      <w:p w:rsidR="00682D2C" w:rsidRDefault="00682D2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891">
          <w:rPr>
            <w:noProof/>
          </w:rPr>
          <w:t>4</w:t>
        </w:r>
        <w:r>
          <w:fldChar w:fldCharType="end"/>
        </w:r>
      </w:p>
    </w:sdtContent>
  </w:sdt>
  <w:p w:rsidR="00E254E2" w:rsidRDefault="00E254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EB" w:rsidRDefault="00615DEB" w:rsidP="00615DEB">
      <w:pPr>
        <w:spacing w:after="0" w:line="240" w:lineRule="auto"/>
      </w:pPr>
      <w:r>
        <w:separator/>
      </w:r>
    </w:p>
  </w:footnote>
  <w:footnote w:type="continuationSeparator" w:id="0">
    <w:p w:rsidR="00615DEB" w:rsidRDefault="00615DEB" w:rsidP="0061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C16"/>
    <w:multiLevelType w:val="hybridMultilevel"/>
    <w:tmpl w:val="C5BAEEEE"/>
    <w:lvl w:ilvl="0" w:tplc="E5F6A7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4B1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24C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853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B3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D89B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0F0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23C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062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6616E"/>
    <w:multiLevelType w:val="hybridMultilevel"/>
    <w:tmpl w:val="02887EBE"/>
    <w:lvl w:ilvl="0" w:tplc="C6C890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809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A90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89C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C5E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ABE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849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898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CE2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76AE5"/>
    <w:multiLevelType w:val="hybridMultilevel"/>
    <w:tmpl w:val="3C38970E"/>
    <w:lvl w:ilvl="0" w:tplc="8DBC0C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013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E9C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ED0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C81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825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C3D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01A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222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74A91"/>
    <w:multiLevelType w:val="hybridMultilevel"/>
    <w:tmpl w:val="AB72C4CC"/>
    <w:lvl w:ilvl="0" w:tplc="557E4F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4CB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E15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89C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5625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6E9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437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8FE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F46C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32D6A"/>
    <w:multiLevelType w:val="hybridMultilevel"/>
    <w:tmpl w:val="DABC1018"/>
    <w:lvl w:ilvl="0" w:tplc="BB180D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0FA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0F3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A66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4D5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62F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CA0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A05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29E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334D1"/>
    <w:multiLevelType w:val="hybridMultilevel"/>
    <w:tmpl w:val="C2D020B4"/>
    <w:lvl w:ilvl="0" w:tplc="146AA4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092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05F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238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8E6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E9A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8F9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8F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443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F5F01"/>
    <w:multiLevelType w:val="hybridMultilevel"/>
    <w:tmpl w:val="DFA8C98C"/>
    <w:lvl w:ilvl="0" w:tplc="AC0E4B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6CE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EAB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021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8DE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422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AFB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12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233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E00EB"/>
    <w:multiLevelType w:val="hybridMultilevel"/>
    <w:tmpl w:val="B330B08A"/>
    <w:lvl w:ilvl="0" w:tplc="39F001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0E5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2DB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EEE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CFD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A15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288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0E1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E8E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4B4A22"/>
    <w:multiLevelType w:val="hybridMultilevel"/>
    <w:tmpl w:val="71A2CD72"/>
    <w:lvl w:ilvl="0" w:tplc="355C93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11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83C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A60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2E7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ACF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241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4EE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1C1D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6A"/>
    <w:rsid w:val="00032527"/>
    <w:rsid w:val="00094D3F"/>
    <w:rsid w:val="000A08DA"/>
    <w:rsid w:val="000C07FC"/>
    <w:rsid w:val="000C7F7A"/>
    <w:rsid w:val="000E70E7"/>
    <w:rsid w:val="00151860"/>
    <w:rsid w:val="00155D2A"/>
    <w:rsid w:val="001B6899"/>
    <w:rsid w:val="002127AD"/>
    <w:rsid w:val="002151B4"/>
    <w:rsid w:val="00291FD8"/>
    <w:rsid w:val="002A2D93"/>
    <w:rsid w:val="002E3049"/>
    <w:rsid w:val="0039716A"/>
    <w:rsid w:val="003B4304"/>
    <w:rsid w:val="003C4872"/>
    <w:rsid w:val="00422CB7"/>
    <w:rsid w:val="004276E1"/>
    <w:rsid w:val="00430E07"/>
    <w:rsid w:val="00460F73"/>
    <w:rsid w:val="00483CB6"/>
    <w:rsid w:val="00495891"/>
    <w:rsid w:val="00497649"/>
    <w:rsid w:val="004C7795"/>
    <w:rsid w:val="005505FB"/>
    <w:rsid w:val="005A4477"/>
    <w:rsid w:val="00615DEB"/>
    <w:rsid w:val="00665047"/>
    <w:rsid w:val="00665D80"/>
    <w:rsid w:val="006662D4"/>
    <w:rsid w:val="00682D2C"/>
    <w:rsid w:val="006847E6"/>
    <w:rsid w:val="00695617"/>
    <w:rsid w:val="006A7916"/>
    <w:rsid w:val="00727D68"/>
    <w:rsid w:val="00761CD3"/>
    <w:rsid w:val="00762929"/>
    <w:rsid w:val="007928BE"/>
    <w:rsid w:val="007B048F"/>
    <w:rsid w:val="007B6A06"/>
    <w:rsid w:val="007D143A"/>
    <w:rsid w:val="00856406"/>
    <w:rsid w:val="00857E24"/>
    <w:rsid w:val="008B52E1"/>
    <w:rsid w:val="008E0374"/>
    <w:rsid w:val="00934B46"/>
    <w:rsid w:val="00A10D18"/>
    <w:rsid w:val="00A311E8"/>
    <w:rsid w:val="00A43400"/>
    <w:rsid w:val="00B45DE8"/>
    <w:rsid w:val="00B91480"/>
    <w:rsid w:val="00C03183"/>
    <w:rsid w:val="00C51899"/>
    <w:rsid w:val="00C566F9"/>
    <w:rsid w:val="00C57735"/>
    <w:rsid w:val="00CC0FFC"/>
    <w:rsid w:val="00CF3FDA"/>
    <w:rsid w:val="00D071B2"/>
    <w:rsid w:val="00D56BB4"/>
    <w:rsid w:val="00D73411"/>
    <w:rsid w:val="00DD7E3F"/>
    <w:rsid w:val="00E02A21"/>
    <w:rsid w:val="00E210B8"/>
    <w:rsid w:val="00E254E2"/>
    <w:rsid w:val="00E60A64"/>
    <w:rsid w:val="00E75915"/>
    <w:rsid w:val="00F107A8"/>
    <w:rsid w:val="00F82D7B"/>
    <w:rsid w:val="00FA1F75"/>
    <w:rsid w:val="00FA70B8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D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5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DEB"/>
  </w:style>
  <w:style w:type="paragraph" w:styleId="Pidipagina">
    <w:name w:val="footer"/>
    <w:basedOn w:val="Normale"/>
    <w:link w:val="PidipaginaCarattere"/>
    <w:uiPriority w:val="99"/>
    <w:unhideWhenUsed/>
    <w:rsid w:val="00615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DEB"/>
  </w:style>
  <w:style w:type="character" w:styleId="Collegamentoipertestuale">
    <w:name w:val="Hyperlink"/>
    <w:semiHidden/>
    <w:rsid w:val="0085640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A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D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5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DEB"/>
  </w:style>
  <w:style w:type="paragraph" w:styleId="Pidipagina">
    <w:name w:val="footer"/>
    <w:basedOn w:val="Normale"/>
    <w:link w:val="PidipaginaCarattere"/>
    <w:uiPriority w:val="99"/>
    <w:unhideWhenUsed/>
    <w:rsid w:val="00615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DEB"/>
  </w:style>
  <w:style w:type="character" w:styleId="Collegamentoipertestuale">
    <w:name w:val="Hyperlink"/>
    <w:semiHidden/>
    <w:rsid w:val="0085640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A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5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8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B8AF6E-7368-4216-B00F-A5C29973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Corti</dc:creator>
  <cp:lastModifiedBy>moretti</cp:lastModifiedBy>
  <cp:revision>5</cp:revision>
  <cp:lastPrinted>2015-03-23T13:24:00Z</cp:lastPrinted>
  <dcterms:created xsi:type="dcterms:W3CDTF">2015-03-13T14:01:00Z</dcterms:created>
  <dcterms:modified xsi:type="dcterms:W3CDTF">2015-03-23T14:10:00Z</dcterms:modified>
</cp:coreProperties>
</file>