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54" w:rsidRPr="00A0442C" w:rsidRDefault="00DE3354" w:rsidP="00DE3354">
      <w:pPr>
        <w:rPr>
          <w:rFonts w:ascii="Verdana" w:hAnsi="Verdana"/>
          <w:b/>
          <w:sz w:val="20"/>
          <w:szCs w:val="20"/>
        </w:rPr>
      </w:pPr>
      <w:r w:rsidRPr="00A0442C">
        <w:rPr>
          <w:rFonts w:ascii="Verdana" w:hAnsi="Verdana"/>
          <w:b/>
          <w:sz w:val="20"/>
          <w:szCs w:val="20"/>
        </w:rPr>
        <w:t>LE PROPOSTE DI CONF</w:t>
      </w:r>
      <w:r>
        <w:rPr>
          <w:rFonts w:ascii="Verdana" w:hAnsi="Verdana"/>
          <w:b/>
          <w:sz w:val="20"/>
          <w:szCs w:val="20"/>
        </w:rPr>
        <w:t xml:space="preserve">TRASPORTO </w:t>
      </w:r>
      <w:r w:rsidRPr="00A3392A">
        <w:rPr>
          <w:rFonts w:ascii="Verdana" w:hAnsi="Verdana"/>
          <w:b/>
          <w:sz w:val="20"/>
          <w:szCs w:val="20"/>
        </w:rPr>
        <w:t>PER UN TAGLIANDO ALLA RIFORMA PORTUALE</w:t>
      </w:r>
      <w:bookmarkStart w:id="0" w:name="_GoBack"/>
      <w:bookmarkEnd w:id="0"/>
    </w:p>
    <w:p w:rsidR="00DE3354" w:rsidRPr="00A0442C" w:rsidRDefault="00DE3354" w:rsidP="00DE3354">
      <w:pPr>
        <w:rPr>
          <w:rFonts w:ascii="Verdana" w:hAnsi="Verdana"/>
          <w:b/>
          <w:i/>
          <w:sz w:val="20"/>
          <w:szCs w:val="20"/>
          <w:u w:val="single"/>
        </w:rPr>
      </w:pPr>
      <w:r w:rsidRPr="00A0442C">
        <w:rPr>
          <w:rFonts w:ascii="Verdana" w:hAnsi="Verdana"/>
          <w:b/>
          <w:i/>
          <w:sz w:val="20"/>
          <w:szCs w:val="20"/>
          <w:u w:val="single"/>
        </w:rPr>
        <w:t>Coordinamento</w:t>
      </w:r>
    </w:p>
    <w:p w:rsidR="00DE3354" w:rsidRPr="00A0442C" w:rsidRDefault="00DE3354" w:rsidP="00DE335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D0633">
        <w:rPr>
          <w:rFonts w:ascii="Verdana" w:hAnsi="Verdana"/>
          <w:b/>
          <w:sz w:val="20"/>
          <w:szCs w:val="20"/>
        </w:rPr>
        <w:t>Va ripensata la Conferenza Nazionale di Coordinamento delle AdSP</w:t>
      </w:r>
      <w:r w:rsidRPr="00A0442C">
        <w:rPr>
          <w:rFonts w:ascii="Verdana" w:hAnsi="Verdana"/>
          <w:sz w:val="20"/>
          <w:szCs w:val="20"/>
        </w:rPr>
        <w:t>, riportandola alla configurazione originaria prevista dalla riforma, ovvero uno strumento concepito per essere la sede preposta a definire la strategia e la programmazione nazionale;</w:t>
      </w:r>
    </w:p>
    <w:p w:rsidR="00DE3354" w:rsidRPr="00A0442C" w:rsidRDefault="00DE3354" w:rsidP="00DE335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D0633">
        <w:rPr>
          <w:rFonts w:ascii="Verdana" w:hAnsi="Verdana"/>
          <w:b/>
          <w:sz w:val="20"/>
          <w:szCs w:val="20"/>
        </w:rPr>
        <w:t>Andrebbe rafforzata la Direzione Porti del Ministero delle Infrastrutture e Trasporti</w:t>
      </w:r>
      <w:r w:rsidRPr="00A0442C">
        <w:rPr>
          <w:rFonts w:ascii="Verdana" w:hAnsi="Verdana"/>
          <w:sz w:val="20"/>
          <w:szCs w:val="20"/>
        </w:rPr>
        <w:t xml:space="preserve"> in modo da poter svolgere non solo il già importante ruolo di vigilanza, ma anche  la necessaria azione di armonizzazione nazionale delle procedure delle AdSP; </w:t>
      </w:r>
    </w:p>
    <w:p w:rsidR="00DE3354" w:rsidRPr="00A0442C" w:rsidRDefault="00DE3354" w:rsidP="00DE335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0442C">
        <w:rPr>
          <w:rFonts w:ascii="Verdana" w:hAnsi="Verdana"/>
          <w:sz w:val="20"/>
          <w:szCs w:val="20"/>
        </w:rPr>
        <w:t xml:space="preserve">Andrebbe strutturata una </w:t>
      </w:r>
      <w:r w:rsidRPr="001D0633">
        <w:rPr>
          <w:rFonts w:ascii="Verdana" w:hAnsi="Verdana"/>
          <w:b/>
          <w:sz w:val="20"/>
          <w:szCs w:val="20"/>
        </w:rPr>
        <w:t>task force nazionale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D0633">
        <w:rPr>
          <w:rFonts w:ascii="Verdana" w:hAnsi="Verdana"/>
          <w:sz w:val="20"/>
          <w:szCs w:val="20"/>
        </w:rPr>
        <w:t>-</w:t>
      </w:r>
      <w:r w:rsidRPr="001D0633">
        <w:rPr>
          <w:rFonts w:ascii="Verdana" w:hAnsi="Verdana"/>
          <w:b/>
          <w:sz w:val="20"/>
          <w:szCs w:val="20"/>
        </w:rPr>
        <w:t xml:space="preserve"> Ministero delle Infrastrutture e Trasporti e Ministero dell’Ambiente</w:t>
      </w:r>
      <w:r>
        <w:rPr>
          <w:rFonts w:ascii="Verdana" w:hAnsi="Verdana"/>
          <w:sz w:val="20"/>
          <w:szCs w:val="20"/>
        </w:rPr>
        <w:t xml:space="preserve"> </w:t>
      </w:r>
      <w:r w:rsidRPr="00A0442C">
        <w:rPr>
          <w:rFonts w:ascii="Verdana" w:hAnsi="Verdana"/>
          <w:sz w:val="20"/>
          <w:szCs w:val="20"/>
        </w:rPr>
        <w:t>- per fornire supporto alle Autorità di Sistema Portuale ai fini di un’omogenea implementazione nel territorio delle semplificazioni procedurali introdotte per la realizzazione degli escavi portuali;</w:t>
      </w:r>
    </w:p>
    <w:p w:rsidR="00DE3354" w:rsidRPr="00A0442C" w:rsidRDefault="00DE3354" w:rsidP="00DE335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0442C">
        <w:rPr>
          <w:rFonts w:ascii="Verdana" w:hAnsi="Verdana"/>
          <w:sz w:val="20"/>
          <w:szCs w:val="20"/>
        </w:rPr>
        <w:t xml:space="preserve">Sarebbe auspicabile che il </w:t>
      </w:r>
      <w:r w:rsidRPr="001D0633">
        <w:rPr>
          <w:rFonts w:ascii="Verdana" w:hAnsi="Verdana"/>
          <w:b/>
          <w:sz w:val="20"/>
          <w:szCs w:val="20"/>
        </w:rPr>
        <w:t>Ministero delle Infrastrutture e dei Trasporti e il Ministero dell’Economia dessero indicazioni e direttive uniformi ai revisori dei conti</w:t>
      </w:r>
      <w:r w:rsidRPr="00A0442C">
        <w:rPr>
          <w:rFonts w:ascii="Verdana" w:hAnsi="Verdana"/>
          <w:sz w:val="20"/>
          <w:szCs w:val="20"/>
        </w:rPr>
        <w:t xml:space="preserve">, ai fini di una loro omogenea attività di vigilanza sull’attività delle AdSP, dedicando anche una precisa formazione per le specificità dei sistemi portuali;  </w:t>
      </w:r>
    </w:p>
    <w:p w:rsidR="00DE3354" w:rsidRPr="00A0442C" w:rsidRDefault="00DE3354" w:rsidP="00DE335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0442C">
        <w:rPr>
          <w:rFonts w:ascii="Verdana" w:hAnsi="Verdana"/>
          <w:sz w:val="20"/>
          <w:szCs w:val="20"/>
        </w:rPr>
        <w:t xml:space="preserve">Andrebbe creato un </w:t>
      </w:r>
      <w:r w:rsidRPr="001D0633">
        <w:rPr>
          <w:rFonts w:ascii="Verdana" w:hAnsi="Verdana"/>
          <w:b/>
          <w:sz w:val="20"/>
          <w:szCs w:val="20"/>
        </w:rPr>
        <w:t>cruscotto di monitoraggio</w:t>
      </w:r>
      <w:r w:rsidRPr="00A0442C">
        <w:rPr>
          <w:rFonts w:ascii="Verdana" w:hAnsi="Verdana"/>
          <w:sz w:val="20"/>
          <w:szCs w:val="20"/>
        </w:rPr>
        <w:t xml:space="preserve"> degli aspetti previsionali di medio e lungo periodo e dei piani operativi triennali di tutte le autorità di sistema portuale;</w:t>
      </w:r>
    </w:p>
    <w:p w:rsidR="00DE3354" w:rsidRPr="00A0442C" w:rsidRDefault="00DE3354" w:rsidP="00DE335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0442C">
        <w:rPr>
          <w:rFonts w:ascii="Verdana" w:hAnsi="Verdana"/>
          <w:sz w:val="20"/>
          <w:szCs w:val="20"/>
        </w:rPr>
        <w:t xml:space="preserve">Andrebbe promossa una </w:t>
      </w:r>
      <w:r w:rsidRPr="001D0633">
        <w:rPr>
          <w:rFonts w:ascii="Verdana" w:hAnsi="Verdana"/>
          <w:b/>
          <w:sz w:val="20"/>
          <w:szCs w:val="20"/>
        </w:rPr>
        <w:t>maggiore omogeneizzazione delle procedure per la security portuale</w:t>
      </w:r>
      <w:r w:rsidRPr="00A0442C">
        <w:rPr>
          <w:rFonts w:ascii="Verdana" w:hAnsi="Verdana"/>
          <w:sz w:val="20"/>
          <w:szCs w:val="20"/>
        </w:rPr>
        <w:t>, affrontando anche il tema della cybersecurity;</w:t>
      </w:r>
    </w:p>
    <w:p w:rsidR="00DE3354" w:rsidRPr="00A0442C" w:rsidRDefault="00DE3354" w:rsidP="00DE335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0442C">
        <w:rPr>
          <w:rFonts w:ascii="Verdana" w:hAnsi="Verdana"/>
          <w:sz w:val="20"/>
          <w:szCs w:val="20"/>
        </w:rPr>
        <w:t xml:space="preserve">Andrebbe </w:t>
      </w:r>
      <w:r w:rsidRPr="001D0633">
        <w:rPr>
          <w:rFonts w:ascii="Verdana" w:hAnsi="Verdana"/>
          <w:b/>
          <w:sz w:val="20"/>
          <w:szCs w:val="20"/>
        </w:rPr>
        <w:t>coordinato lo sviluppo dei sistemi ITS</w:t>
      </w:r>
      <w:r w:rsidRPr="00A0442C">
        <w:rPr>
          <w:rFonts w:ascii="Verdana" w:hAnsi="Verdana"/>
          <w:sz w:val="20"/>
          <w:szCs w:val="20"/>
        </w:rPr>
        <w:t xml:space="preserve"> (Intelligent Transport System) evitando il replicarsi della esperienza dei port community system nati a macchia di leopardo con modelli profondamente differenziati da porto a porto. In questo ambito complessivo della digitalizzazione si dovrebbe ragionare sulla funzione e sulla missione di Uirnet in chiave futura.</w:t>
      </w:r>
    </w:p>
    <w:p w:rsidR="00DE3354" w:rsidRPr="00A0442C" w:rsidRDefault="00DE3354" w:rsidP="00DE3354">
      <w:pPr>
        <w:spacing w:line="276" w:lineRule="auto"/>
        <w:contextualSpacing/>
        <w:jc w:val="both"/>
        <w:rPr>
          <w:rFonts w:ascii="Verdana" w:eastAsia="Calibri" w:hAnsi="Verdana"/>
          <w:sz w:val="20"/>
          <w:szCs w:val="20"/>
        </w:rPr>
      </w:pPr>
    </w:p>
    <w:p w:rsidR="00DE3354" w:rsidRPr="00A0442C" w:rsidRDefault="00DE3354" w:rsidP="00DE3354">
      <w:pPr>
        <w:spacing w:line="276" w:lineRule="auto"/>
        <w:contextualSpacing/>
        <w:jc w:val="both"/>
        <w:rPr>
          <w:rFonts w:ascii="Verdana" w:eastAsia="Calibri" w:hAnsi="Verdana"/>
          <w:b/>
          <w:i/>
          <w:sz w:val="20"/>
          <w:szCs w:val="20"/>
          <w:u w:val="single"/>
        </w:rPr>
      </w:pPr>
      <w:r w:rsidRPr="00A0442C">
        <w:rPr>
          <w:rFonts w:ascii="Verdana" w:eastAsia="Calibri" w:hAnsi="Verdana"/>
          <w:b/>
          <w:i/>
          <w:sz w:val="20"/>
          <w:szCs w:val="20"/>
          <w:u w:val="single"/>
        </w:rPr>
        <w:t>Una nuova stagione per le concessioni portuali</w:t>
      </w:r>
    </w:p>
    <w:p w:rsidR="00DE3354" w:rsidRPr="001D0633" w:rsidRDefault="00DE3354" w:rsidP="00DE3354">
      <w:pPr>
        <w:jc w:val="both"/>
        <w:rPr>
          <w:rFonts w:ascii="Verdana" w:hAnsi="Verdana"/>
          <w:sz w:val="20"/>
          <w:szCs w:val="20"/>
        </w:rPr>
      </w:pPr>
    </w:p>
    <w:p w:rsidR="00DE3354" w:rsidRPr="00A0442C" w:rsidRDefault="00DE3354" w:rsidP="00DE3354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1D0633">
        <w:rPr>
          <w:rFonts w:ascii="Verdana" w:hAnsi="Verdana"/>
          <w:b/>
          <w:sz w:val="20"/>
          <w:szCs w:val="20"/>
        </w:rPr>
        <w:t>Andrebbe emanato senza indugio, il Regolamento sulle Concessioni Portuali</w:t>
      </w:r>
      <w:r w:rsidRPr="00A0442C">
        <w:rPr>
          <w:rFonts w:ascii="Verdana" w:hAnsi="Verdana"/>
          <w:sz w:val="20"/>
          <w:szCs w:val="20"/>
        </w:rPr>
        <w:t>, previsto dall’articolo 18 della legge 84/94</w:t>
      </w:r>
      <w:r>
        <w:rPr>
          <w:rFonts w:ascii="Verdana" w:hAnsi="Verdana"/>
          <w:sz w:val="20"/>
          <w:szCs w:val="20"/>
        </w:rPr>
        <w:t xml:space="preserve"> e, n</w:t>
      </w:r>
      <w:r w:rsidRPr="00A0442C">
        <w:rPr>
          <w:rFonts w:ascii="Verdana" w:hAnsi="Verdana"/>
          <w:sz w:val="20"/>
          <w:szCs w:val="20"/>
        </w:rPr>
        <w:t xml:space="preserve">elle more dell’emanazione, in considerazione del ruolo </w:t>
      </w:r>
      <w:r w:rsidRPr="001D0633">
        <w:rPr>
          <w:rFonts w:ascii="Verdana" w:hAnsi="Verdana"/>
          <w:b/>
          <w:sz w:val="20"/>
          <w:szCs w:val="20"/>
        </w:rPr>
        <w:t xml:space="preserve">dell’Autorità di Regolazione dei trasporti (ART), sarebbe opportuna una collaborazione tra l’ART  e la Direzione Porti del MIT </w:t>
      </w:r>
      <w:r w:rsidRPr="001D0633">
        <w:rPr>
          <w:rFonts w:ascii="Verdana" w:hAnsi="Verdana"/>
          <w:sz w:val="20"/>
          <w:szCs w:val="20"/>
          <w:u w:val="single"/>
        </w:rPr>
        <w:t>per arrivare ad una rapida armonizzazione del sistema</w:t>
      </w:r>
      <w:r w:rsidRPr="00A0442C">
        <w:rPr>
          <w:rFonts w:ascii="Verdana" w:hAnsi="Verdana"/>
          <w:sz w:val="20"/>
          <w:szCs w:val="20"/>
        </w:rPr>
        <w:t xml:space="preserve">: non è tollerabile la differenza tra porto e porto, anche della medesima Autorità di Sistema, in termini di durata delle concessioni , piani di impresa, importi dei canoni di concessione, differenze che alterano la concorrenza e favoriscono vere forme di speculazione. Sarebbe, in particolare, </w:t>
      </w:r>
      <w:r w:rsidRPr="001D0633">
        <w:rPr>
          <w:rFonts w:ascii="Verdana" w:hAnsi="Verdana"/>
          <w:b/>
          <w:sz w:val="20"/>
          <w:szCs w:val="20"/>
        </w:rPr>
        <w:t>opportuno attribuire all’Autorità di Regolazione dei Trasporti ART ruolo e competenze specifiche</w:t>
      </w:r>
      <w:r w:rsidRPr="00A0442C">
        <w:rPr>
          <w:rFonts w:ascii="Verdana" w:hAnsi="Verdana"/>
          <w:sz w:val="20"/>
          <w:szCs w:val="20"/>
        </w:rPr>
        <w:t xml:space="preserve">, non solo rispetto alle nuove concessioni portuali da rilasciare, ma anche rispetto a quelle esistenti ai fini del monitoraggio, del coordinamento e del controllo dell’attuazione dei piani d’impresa. Nell’ambito di tale revisione delle competenze dell’Autorità, andrebbero individuate diverse modalità di finanziamento della stessa , ponendo a carico della collettività una attività regolatoria effettuata a garanzia d superiori interessi pubblici. </w:t>
      </w:r>
    </w:p>
    <w:p w:rsidR="00DE3354" w:rsidRPr="00A0442C" w:rsidRDefault="00DE3354" w:rsidP="00DE3354">
      <w:pPr>
        <w:spacing w:line="276" w:lineRule="auto"/>
        <w:ind w:left="708"/>
        <w:contextualSpacing/>
        <w:jc w:val="both"/>
        <w:rPr>
          <w:rFonts w:ascii="Verdana" w:eastAsia="Calibri" w:hAnsi="Verdana"/>
          <w:b/>
          <w:sz w:val="20"/>
          <w:szCs w:val="20"/>
        </w:rPr>
      </w:pPr>
    </w:p>
    <w:p w:rsidR="00DE3354" w:rsidRPr="00A0442C" w:rsidRDefault="00DE3354" w:rsidP="00DE3354">
      <w:pPr>
        <w:spacing w:line="276" w:lineRule="auto"/>
        <w:ind w:left="360"/>
        <w:contextualSpacing/>
        <w:jc w:val="both"/>
        <w:rPr>
          <w:rFonts w:ascii="Verdana" w:eastAsia="Calibri" w:hAnsi="Verdana"/>
          <w:b/>
          <w:i/>
          <w:sz w:val="20"/>
          <w:szCs w:val="20"/>
        </w:rPr>
      </w:pPr>
      <w:r w:rsidRPr="00A0442C">
        <w:rPr>
          <w:rFonts w:ascii="Verdana" w:eastAsia="Calibri" w:hAnsi="Verdana"/>
          <w:b/>
          <w:i/>
          <w:sz w:val="20"/>
          <w:szCs w:val="20"/>
          <w:u w:val="single"/>
        </w:rPr>
        <w:t xml:space="preserve">Riorganizzare la governance delle Autorità di Sistema </w:t>
      </w:r>
    </w:p>
    <w:p w:rsidR="00DE3354" w:rsidRPr="00A0442C" w:rsidRDefault="00DE3354" w:rsidP="00DE3354">
      <w:pPr>
        <w:spacing w:line="276" w:lineRule="auto"/>
        <w:contextualSpacing/>
        <w:jc w:val="both"/>
        <w:rPr>
          <w:rFonts w:ascii="Verdana" w:eastAsia="Calibri" w:hAnsi="Verdana"/>
          <w:b/>
          <w:sz w:val="20"/>
          <w:szCs w:val="20"/>
        </w:rPr>
      </w:pPr>
    </w:p>
    <w:p w:rsidR="00DE3354" w:rsidRPr="00A0442C" w:rsidRDefault="00DE3354" w:rsidP="00DE335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0442C">
        <w:rPr>
          <w:rFonts w:ascii="Verdana" w:hAnsi="Verdana"/>
          <w:sz w:val="20"/>
          <w:szCs w:val="20"/>
        </w:rPr>
        <w:t xml:space="preserve">E’ necessario </w:t>
      </w:r>
      <w:r w:rsidRPr="001D0633">
        <w:rPr>
          <w:rFonts w:ascii="Verdana" w:hAnsi="Verdana"/>
          <w:b/>
          <w:sz w:val="20"/>
          <w:szCs w:val="20"/>
        </w:rPr>
        <w:t>superare l’ambigua natura giuridica delle AdSP</w:t>
      </w:r>
      <w:r w:rsidRPr="00A0442C">
        <w:rPr>
          <w:rFonts w:ascii="Verdana" w:hAnsi="Verdana"/>
          <w:sz w:val="20"/>
          <w:szCs w:val="20"/>
        </w:rPr>
        <w:t xml:space="preserve">, valutando, in primis, la modifica dell’attuale elenco Ista,t che annovera le Autorità Portuali tra le Amministrazioni pubbliche </w:t>
      </w:r>
      <w:r w:rsidRPr="001D0633">
        <w:rPr>
          <w:rFonts w:ascii="Verdana" w:hAnsi="Verdana"/>
          <w:i/>
          <w:sz w:val="20"/>
          <w:szCs w:val="20"/>
        </w:rPr>
        <w:t>(sezioni Amministrazioni locali);</w:t>
      </w:r>
    </w:p>
    <w:p w:rsidR="00DE3354" w:rsidRPr="00A0442C" w:rsidRDefault="00DE3354" w:rsidP="00DE335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D0633">
        <w:rPr>
          <w:rFonts w:ascii="Verdana" w:hAnsi="Verdana"/>
          <w:b/>
          <w:sz w:val="20"/>
          <w:szCs w:val="20"/>
        </w:rPr>
        <w:lastRenderedPageBreak/>
        <w:t xml:space="preserve">Andrebbero ulteriormente approfonditi e, nel caso dettagliati, gli ambiti applicativi del  </w:t>
      </w:r>
      <w:r w:rsidRPr="001D0633">
        <w:rPr>
          <w:rFonts w:ascii="Verdana" w:hAnsi="Verdana"/>
          <w:b/>
          <w:i/>
          <w:sz w:val="20"/>
          <w:szCs w:val="20"/>
        </w:rPr>
        <w:t>decreto legislativo 165/2001 in tema di Norme generali sull'ordinamento del lavoro alle dipendenze delle amministrazioni pubbliche</w:t>
      </w:r>
      <w:r w:rsidRPr="00A0442C">
        <w:rPr>
          <w:rFonts w:ascii="Verdana" w:hAnsi="Verdana"/>
          <w:sz w:val="20"/>
          <w:szCs w:val="20"/>
        </w:rPr>
        <w:t xml:space="preserve">. Ad esempio, l’applicazione del contratto privatistico dei porti ai dipendenti delle AdSP mal si concilia con i vincoli della pubblica amministrazione. Complessivamente andrebbe fatta una scelta definitiva e radicale in merito al funzionamento delle AdSP ed in questo ambito andrebbe prevista la possibilità per il Presidente di delegare ai dirigenti alcune competenze e funzioni; </w:t>
      </w:r>
    </w:p>
    <w:p w:rsidR="00DE3354" w:rsidRPr="00A0442C" w:rsidRDefault="00DE3354" w:rsidP="00DE335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D0633">
        <w:rPr>
          <w:rFonts w:ascii="Verdana" w:hAnsi="Verdana"/>
          <w:b/>
          <w:sz w:val="20"/>
          <w:szCs w:val="20"/>
        </w:rPr>
        <w:t>Andrebbe estesa la durata del mandato del presidente che dovrebbe essere portato da 4 a 5 anni</w:t>
      </w:r>
      <w:r w:rsidRPr="00A0442C">
        <w:rPr>
          <w:rFonts w:ascii="Verdana" w:hAnsi="Verdana"/>
          <w:sz w:val="20"/>
          <w:szCs w:val="20"/>
        </w:rPr>
        <w:t>, in quanto un anno di differenza può rappresentare molto rispetto agli obbiettivi prefissati.</w:t>
      </w:r>
    </w:p>
    <w:p w:rsidR="00DE3354" w:rsidRPr="00A0442C" w:rsidRDefault="00DE3354" w:rsidP="00DE335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D0633">
        <w:rPr>
          <w:rFonts w:ascii="Verdana" w:hAnsi="Verdana"/>
          <w:b/>
          <w:sz w:val="20"/>
          <w:szCs w:val="20"/>
        </w:rPr>
        <w:t>Andrebbe rivisita la norma sull’Organismo di Partenariato della Risorsa Mare</w:t>
      </w:r>
      <w:r w:rsidRPr="00A0442C">
        <w:rPr>
          <w:rFonts w:ascii="Verdana" w:hAnsi="Verdana"/>
          <w:sz w:val="20"/>
          <w:szCs w:val="20"/>
        </w:rPr>
        <w:t>. L’Organismo dovrebbe essere un luogo vissuto dai Presidenti delle AdSP come sede di proposta e di ausilio alla programmazione, valorizzando il ruolo delle categorie economiche. Dovrebbe assorbire le funzioni attribuite alla commissione consultiva.</w:t>
      </w:r>
    </w:p>
    <w:p w:rsidR="00DE3354" w:rsidRPr="00A0442C" w:rsidRDefault="00DE3354" w:rsidP="00DE3354">
      <w:pPr>
        <w:rPr>
          <w:rFonts w:ascii="Verdana" w:hAnsi="Verdana"/>
          <w:b/>
          <w:sz w:val="20"/>
          <w:szCs w:val="20"/>
        </w:rPr>
      </w:pPr>
    </w:p>
    <w:p w:rsidR="00DE3354" w:rsidRPr="00A0442C" w:rsidRDefault="00DE3354" w:rsidP="00DE3354">
      <w:pPr>
        <w:rPr>
          <w:rFonts w:ascii="Verdana" w:hAnsi="Verdana"/>
          <w:b/>
          <w:sz w:val="20"/>
          <w:szCs w:val="20"/>
        </w:rPr>
      </w:pPr>
    </w:p>
    <w:p w:rsidR="00DE3354" w:rsidRPr="00A0442C" w:rsidRDefault="00DE3354" w:rsidP="00DE3354">
      <w:pPr>
        <w:rPr>
          <w:rFonts w:ascii="Verdana" w:hAnsi="Verdana"/>
          <w:b/>
          <w:sz w:val="20"/>
          <w:szCs w:val="20"/>
        </w:rPr>
      </w:pPr>
    </w:p>
    <w:p w:rsidR="00655A03" w:rsidRDefault="00655A03"/>
    <w:sectPr w:rsidR="00655A03" w:rsidSect="00DE3354">
      <w:headerReference w:type="default" r:id="rId5"/>
      <w:footerReference w:type="even" r:id="rId6"/>
      <w:footerReference w:type="default" r:id="rId7"/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F4" w:rsidRDefault="00DE3354" w:rsidP="00072DF4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72DF4" w:rsidRDefault="00DE3354" w:rsidP="00072DF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F4" w:rsidRDefault="00DE3354" w:rsidP="00072DF4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72DF4" w:rsidRDefault="00DE3354" w:rsidP="00072DF4">
    <w:pPr>
      <w:pStyle w:val="Pidipagina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6D" w:rsidRDefault="00DE3354" w:rsidP="003B746D">
    <w:pPr>
      <w:tabs>
        <w:tab w:val="left" w:pos="7485"/>
      </w:tabs>
      <w:spacing w:after="0"/>
      <w:rPr>
        <w:rFonts w:ascii="Verdana" w:eastAsia="Calibri" w:hAnsi="Verdana"/>
        <w:b/>
        <w:noProof/>
        <w:sz w:val="22"/>
        <w:szCs w:val="22"/>
        <w:lang w:eastAsia="it-IT"/>
      </w:rPr>
    </w:pPr>
  </w:p>
  <w:p w:rsidR="003B746D" w:rsidRDefault="00DE3354" w:rsidP="003B746D">
    <w:pPr>
      <w:tabs>
        <w:tab w:val="left" w:pos="7485"/>
      </w:tabs>
      <w:spacing w:after="0"/>
      <w:rPr>
        <w:rFonts w:ascii="Calibri" w:eastAsia="Calibri" w:hAnsi="Calibri"/>
        <w:noProof/>
        <w:sz w:val="22"/>
        <w:szCs w:val="22"/>
        <w:lang w:eastAsia="it-IT"/>
      </w:rPr>
    </w:pPr>
    <w:r w:rsidRPr="003B746D">
      <w:rPr>
        <w:rFonts w:ascii="Calibri" w:eastAsia="Calibri" w:hAnsi="Calibri"/>
        <w:sz w:val="22"/>
        <w:szCs w:val="22"/>
      </w:rPr>
      <w:tab/>
    </w:r>
  </w:p>
  <w:p w:rsidR="003B746D" w:rsidRPr="003B746D" w:rsidRDefault="00DE3354" w:rsidP="003B746D">
    <w:pPr>
      <w:tabs>
        <w:tab w:val="left" w:pos="7485"/>
      </w:tabs>
      <w:spacing w:after="0"/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95D75"/>
    <w:multiLevelType w:val="hybridMultilevel"/>
    <w:tmpl w:val="25B03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D06AD"/>
    <w:multiLevelType w:val="hybridMultilevel"/>
    <w:tmpl w:val="7AC2F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8777B"/>
    <w:multiLevelType w:val="hybridMultilevel"/>
    <w:tmpl w:val="096E3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54"/>
    <w:rsid w:val="00655A03"/>
    <w:rsid w:val="00D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D8614-2F4F-48B1-AF20-74CA90BB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354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E33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E335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DE3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3354"/>
    <w:rPr>
      <w:rFonts w:ascii="Cambria" w:eastAsia="Cambria" w:hAnsi="Cambria" w:cs="Times New Roman"/>
      <w:sz w:val="24"/>
      <w:szCs w:val="24"/>
    </w:rPr>
  </w:style>
  <w:style w:type="character" w:styleId="Numeropagina">
    <w:name w:val="page number"/>
    <w:basedOn w:val="Carpredefinitoparagrafo"/>
    <w:rsid w:val="00DE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segreteriawks</dc:creator>
  <cp:keywords/>
  <dc:description/>
  <cp:lastModifiedBy>segreteriawks</cp:lastModifiedBy>
  <cp:revision>1</cp:revision>
  <dcterms:created xsi:type="dcterms:W3CDTF">2018-10-09T08:36:00Z</dcterms:created>
  <dcterms:modified xsi:type="dcterms:W3CDTF">2018-10-09T08:46:00Z</dcterms:modified>
</cp:coreProperties>
</file>