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C7" w:rsidRDefault="000C02C7" w:rsidP="000C02C7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sz w:val="24"/>
          <w:szCs w:val="24"/>
        </w:rPr>
      </w:pPr>
      <w:bookmarkStart w:id="0" w:name="_GoBack"/>
      <w:bookmarkEnd w:id="0"/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BoldCn" w:hAnsi="FrutigerLTStd-BoldCn" w:cs="FrutigerLTStd-BoldCn"/>
          <w:b/>
          <w:bCs/>
          <w:sz w:val="24"/>
          <w:szCs w:val="24"/>
        </w:rPr>
      </w:pPr>
      <w:r>
        <w:rPr>
          <w:rFonts w:ascii="FrutigerLTStd-BoldCn" w:hAnsi="FrutigerLTStd-BoldCn" w:cs="FrutigerLTStd-BoldCn"/>
          <w:b/>
          <w:bCs/>
          <w:sz w:val="24"/>
          <w:szCs w:val="24"/>
        </w:rPr>
        <w:t>Trasporto su gomma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Far avanzare simultaneamente il processo di ulteriore apertura alla concorrenza del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mercato europeo dell’autotrasporto con l’introduzione di regole chiare e facilmente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applicabili per fronteggiare abusi, comportamenti distorsivi e dumping sociale.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Introdurre uno specifico status per i cosiddetti lavoratori ad elevata mobilità (quali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gli autisti professionali).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Modificare il Regolamento (EC) 883/2004 per applicare, nei soli casi di distacco di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autisti, la legislazione sociale del Paese ospitante.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Rivedere la Direttiva 96/72/EC sul distacco dei lavoratori per meglio fronteggiare il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dumping sociale.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Introdurre un’Agenzia europea per il trasporto stradale per l’uniforme applicazione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della complessa disciplina.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Confermare gli elementi di competitività delle imprese garantiti dal bilancio dello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Stato, rafforzandone la natura premiale, limitandoli alle imprese più virtuose, dal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punto di vista della sicurezza e dell’impatto ambientale.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BoldCn" w:hAnsi="FrutigerLTStd-BoldCn" w:cs="FrutigerLTStd-BoldCn"/>
          <w:b/>
          <w:bCs/>
          <w:sz w:val="24"/>
          <w:szCs w:val="24"/>
        </w:rPr>
      </w:pPr>
      <w:r>
        <w:rPr>
          <w:rFonts w:ascii="FrutigerLTStd-BoldCn" w:hAnsi="FrutigerLTStd-BoldCn" w:cs="FrutigerLTStd-BoldCn"/>
          <w:b/>
          <w:bCs/>
          <w:sz w:val="24"/>
          <w:szCs w:val="24"/>
        </w:rPr>
        <w:t>Trasporto ferroviario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Semplificare l’attività d’impresa attraverso certificati di sicurezza unici per i treni in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Europa, con la rapida approvazione del pilastro tecnico del “4° pacchetto ferroviario”.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Aprire di notte ai traffici merci la rete ferroviaria ad alta velocità nelle tratte Nord/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Sud del Paese, realizzando il trasporto terrestre combinato veloce "metropolitana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italiana delle merci".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Intervenire sulla variabile strategica del pedaggio per l’accesso all’infrastruttura ferroviaria,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evitando di attuare proposte di rimodulazione che generebbero incrementi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di oneri non sostenibili e destinando le risorse impegnate ma non utilizzabili per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sostenere i traffici da e verso il sud anche nelle altre tratte ferroviarie del Paese.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Introdurre incentivi nazionali ed europei per il sostegno del traffico combinato terrestre.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BoldCn" w:hAnsi="FrutigerLTStd-BoldCn" w:cs="FrutigerLTStd-BoldCn"/>
          <w:b/>
          <w:bCs/>
          <w:sz w:val="24"/>
          <w:szCs w:val="24"/>
        </w:rPr>
      </w:pPr>
      <w:r>
        <w:rPr>
          <w:rFonts w:ascii="FrutigerLTStd-BoldCn" w:hAnsi="FrutigerLTStd-BoldCn" w:cs="FrutigerLTStd-BoldCn"/>
          <w:b/>
          <w:bCs/>
          <w:sz w:val="24"/>
          <w:szCs w:val="24"/>
        </w:rPr>
        <w:t>Trasporto marittimo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Sostenere lo sviluppo delle Autostrade del mare, tanto alla dimensione nazionale,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attraverso la riattivazione dell’incentivo “</w:t>
      </w:r>
      <w:proofErr w:type="spellStart"/>
      <w:r>
        <w:rPr>
          <w:rFonts w:ascii="FrutigerLTStd-Cn" w:hAnsi="FrutigerLTStd-Cn" w:cs="FrutigerLTStd-Cn"/>
          <w:sz w:val="24"/>
          <w:szCs w:val="24"/>
        </w:rPr>
        <w:t>Ecobonus</w:t>
      </w:r>
      <w:proofErr w:type="spellEnd"/>
      <w:r>
        <w:rPr>
          <w:rFonts w:ascii="FrutigerLTStd-Cn" w:hAnsi="FrutigerLTStd-Cn" w:cs="FrutigerLTStd-Cn"/>
          <w:sz w:val="24"/>
          <w:szCs w:val="24"/>
        </w:rPr>
        <w:t>”, quanto a livello europeo con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un “</w:t>
      </w:r>
      <w:proofErr w:type="spellStart"/>
      <w:r>
        <w:rPr>
          <w:rFonts w:ascii="FrutigerLTStd-Cn" w:hAnsi="FrutigerLTStd-Cn" w:cs="FrutigerLTStd-Cn"/>
          <w:sz w:val="24"/>
          <w:szCs w:val="24"/>
        </w:rPr>
        <w:t>Eurobonus</w:t>
      </w:r>
      <w:proofErr w:type="spellEnd"/>
      <w:r>
        <w:rPr>
          <w:rFonts w:ascii="FrutigerLTStd-Cn" w:hAnsi="FrutigerLTStd-Cn" w:cs="FrutigerLTStd-Cn"/>
          <w:sz w:val="24"/>
          <w:szCs w:val="24"/>
        </w:rPr>
        <w:t>”.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Definire un quadro comune e condiviso sui servizi di pilotaggio, che contemperi le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esigenze della sicurezza con quelle della operatività della filiera marittimo-portuale.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LightCn" w:hAnsi="FrutigerLTStd-LightCn" w:cs="FrutigerLTStd-LightCn"/>
          <w:sz w:val="20"/>
          <w:szCs w:val="20"/>
        </w:rPr>
      </w:pPr>
      <w:r>
        <w:rPr>
          <w:rFonts w:ascii="FrutigerLTStd-LightCn" w:hAnsi="FrutigerLTStd-LightCn" w:cs="FrutigerLTStd-LightCn"/>
          <w:sz w:val="20"/>
          <w:szCs w:val="20"/>
        </w:rPr>
        <w:t>Sintesi dei risultati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LightCn" w:hAnsi="FrutigerLTStd-LightCn" w:cs="FrutigerLTStd-LightCn"/>
          <w:sz w:val="20"/>
          <w:szCs w:val="20"/>
        </w:rPr>
      </w:pPr>
      <w:r>
        <w:rPr>
          <w:rFonts w:ascii="FrutigerLTStd-LightCn" w:hAnsi="FrutigerLTStd-LightCn" w:cs="FrutigerLTStd-LightCn"/>
          <w:sz w:val="20"/>
          <w:szCs w:val="20"/>
        </w:rPr>
        <w:t>11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Sburocratizzare gli adempimenti informativi a carico delle navi in partenza nei porti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nazionali.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Equiparare il trattamento IVA delle prestazioni di trasporto marittimo di passeggeri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di linea a quello del TPL su gomma.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BoldCn" w:hAnsi="FrutigerLTStd-BoldCn" w:cs="FrutigerLTStd-BoldCn"/>
          <w:b/>
          <w:bCs/>
          <w:sz w:val="24"/>
          <w:szCs w:val="24"/>
        </w:rPr>
      </w:pPr>
      <w:r>
        <w:rPr>
          <w:rFonts w:ascii="FrutigerLTStd-BoldCn" w:hAnsi="FrutigerLTStd-BoldCn" w:cs="FrutigerLTStd-BoldCn"/>
          <w:b/>
          <w:bCs/>
          <w:sz w:val="24"/>
          <w:szCs w:val="24"/>
        </w:rPr>
        <w:t>Superare le Disconnessioni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 xml:space="preserve">• Attuare per i porti lo sportello unico dei controlli, i fast </w:t>
      </w:r>
      <w:proofErr w:type="spellStart"/>
      <w:r>
        <w:rPr>
          <w:rFonts w:ascii="FrutigerLTStd-Cn" w:hAnsi="FrutigerLTStd-Cn" w:cs="FrutigerLTStd-Cn"/>
          <w:sz w:val="24"/>
          <w:szCs w:val="24"/>
        </w:rPr>
        <w:t>corridors</w:t>
      </w:r>
      <w:proofErr w:type="spellEnd"/>
      <w:r>
        <w:rPr>
          <w:rFonts w:ascii="FrutigerLTStd-Cn" w:hAnsi="FrutigerLTStd-Cn" w:cs="FrutigerLTStd-Cn"/>
          <w:sz w:val="24"/>
          <w:szCs w:val="24"/>
        </w:rPr>
        <w:t xml:space="preserve"> doganali, le semplificazioni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dei dragaggi, la velocizzazione delle procedure, il rafforzamento del coordinamento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 xml:space="preserve">centrale delle politiche e la riforma della </w:t>
      </w:r>
      <w:proofErr w:type="spellStart"/>
      <w:r>
        <w:rPr>
          <w:rFonts w:ascii="FrutigerLTStd-Cn" w:hAnsi="FrutigerLTStd-Cn" w:cs="FrutigerLTStd-Cn"/>
          <w:sz w:val="24"/>
          <w:szCs w:val="24"/>
        </w:rPr>
        <w:t>governance</w:t>
      </w:r>
      <w:proofErr w:type="spellEnd"/>
      <w:r>
        <w:rPr>
          <w:rFonts w:ascii="FrutigerLTStd-Cn" w:hAnsi="FrutigerLTStd-Cn" w:cs="FrutigerLTStd-Cn"/>
          <w:sz w:val="24"/>
          <w:szCs w:val="24"/>
        </w:rPr>
        <w:t>, in coerenza con le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indicazioni del Piano Strategico.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Assegnare alla competenza dello Stato centrale la materia delle infrastrutture strategiche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e grandi reti di trasporto e navigazione di interesse nazionale.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Inserire una specifica sezione nel programma delle infrastrutture strategiche di interesse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nazionale dedicato alla realizzazione di progetti integrati di ottimizzazione dei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trasporti delle aree metropolitane del Paese.</w:t>
      </w:r>
    </w:p>
    <w:p w:rsidR="000C02C7" w:rsidRDefault="000C02C7" w:rsidP="000C02C7">
      <w:pPr>
        <w:autoSpaceDE w:val="0"/>
        <w:autoSpaceDN w:val="0"/>
        <w:adjustRightInd w:val="0"/>
        <w:spacing w:after="0" w:line="360" w:lineRule="auto"/>
        <w:rPr>
          <w:rFonts w:ascii="FrutigerLTStd-Cn" w:hAnsi="FrutigerLTStd-Cn" w:cs="FrutigerLTStd-Cn"/>
          <w:sz w:val="24"/>
          <w:szCs w:val="24"/>
        </w:rPr>
      </w:pPr>
      <w:r>
        <w:rPr>
          <w:rFonts w:ascii="FrutigerLTStd-Cn" w:hAnsi="FrutigerLTStd-Cn" w:cs="FrutigerLTStd-Cn"/>
          <w:sz w:val="24"/>
          <w:szCs w:val="24"/>
        </w:rPr>
        <w:t>• Includere i trasporti tra le piattaforme abilitanti della strategia di crescita digitale</w:t>
      </w:r>
    </w:p>
    <w:p w:rsidR="00304D91" w:rsidRPr="000C02C7" w:rsidRDefault="000C02C7" w:rsidP="000C02C7">
      <w:pPr>
        <w:spacing w:line="360" w:lineRule="auto"/>
      </w:pPr>
      <w:r>
        <w:rPr>
          <w:rFonts w:ascii="FrutigerLTStd-Cn" w:hAnsi="FrutigerLTStd-Cn" w:cs="FrutigerLTStd-Cn"/>
          <w:sz w:val="24"/>
          <w:szCs w:val="24"/>
        </w:rPr>
        <w:t>del Paese.</w:t>
      </w:r>
    </w:p>
    <w:sectPr w:rsidR="00304D91" w:rsidRPr="000C0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30"/>
    <w:rsid w:val="000C02C7"/>
    <w:rsid w:val="0030139A"/>
    <w:rsid w:val="005A723D"/>
    <w:rsid w:val="006C7330"/>
    <w:rsid w:val="00D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</dc:creator>
  <cp:lastModifiedBy>moretti</cp:lastModifiedBy>
  <cp:revision>1</cp:revision>
  <cp:lastPrinted>2015-10-08T10:11:00Z</cp:lastPrinted>
  <dcterms:created xsi:type="dcterms:W3CDTF">2015-10-08T10:11:00Z</dcterms:created>
  <dcterms:modified xsi:type="dcterms:W3CDTF">2015-10-08T12:30:00Z</dcterms:modified>
</cp:coreProperties>
</file>