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E2" w:rsidRDefault="007A4BE2" w:rsidP="00860227">
      <w:pPr>
        <w:jc w:val="both"/>
        <w:rPr>
          <w:sz w:val="32"/>
          <w:szCs w:val="32"/>
        </w:rPr>
      </w:pPr>
    </w:p>
    <w:p w:rsidR="00015667" w:rsidRDefault="00015667" w:rsidP="00CA1B1B">
      <w:pPr>
        <w:spacing w:line="360" w:lineRule="auto"/>
        <w:ind w:left="6372" w:firstLine="708"/>
        <w:jc w:val="both"/>
        <w:rPr>
          <w:rFonts w:ascii="Verdana" w:hAnsi="Verdana"/>
          <w:sz w:val="20"/>
          <w:szCs w:val="20"/>
        </w:rPr>
      </w:pPr>
    </w:p>
    <w:p w:rsidR="00015667" w:rsidRDefault="00015667" w:rsidP="00CA1B1B">
      <w:pPr>
        <w:spacing w:line="360" w:lineRule="auto"/>
        <w:ind w:left="6372" w:firstLine="708"/>
        <w:jc w:val="both"/>
        <w:rPr>
          <w:rFonts w:ascii="Verdana" w:hAnsi="Verdana"/>
          <w:sz w:val="20"/>
          <w:szCs w:val="20"/>
        </w:rPr>
      </w:pPr>
    </w:p>
    <w:p w:rsidR="00241C30" w:rsidRDefault="00241C30" w:rsidP="00CA1B1B">
      <w:pPr>
        <w:spacing w:line="360" w:lineRule="auto"/>
        <w:ind w:left="6372" w:firstLine="708"/>
        <w:jc w:val="both"/>
        <w:rPr>
          <w:rFonts w:ascii="Verdana" w:hAnsi="Verdana"/>
          <w:sz w:val="20"/>
          <w:szCs w:val="20"/>
        </w:rPr>
      </w:pPr>
    </w:p>
    <w:p w:rsidR="00241C30" w:rsidRDefault="00241C30" w:rsidP="00CA1B1B">
      <w:pPr>
        <w:spacing w:line="360" w:lineRule="auto"/>
        <w:ind w:left="6372" w:firstLine="708"/>
        <w:jc w:val="both"/>
        <w:rPr>
          <w:rFonts w:ascii="Verdana" w:hAnsi="Verdana"/>
          <w:sz w:val="20"/>
          <w:szCs w:val="20"/>
        </w:rPr>
      </w:pPr>
    </w:p>
    <w:p w:rsidR="00241C30" w:rsidRDefault="00241C30" w:rsidP="00CA1B1B">
      <w:pPr>
        <w:spacing w:line="360" w:lineRule="auto"/>
        <w:ind w:left="6372" w:firstLine="708"/>
        <w:jc w:val="both"/>
        <w:rPr>
          <w:rFonts w:ascii="Verdana" w:hAnsi="Verdana"/>
          <w:sz w:val="20"/>
          <w:szCs w:val="20"/>
        </w:rPr>
      </w:pPr>
    </w:p>
    <w:p w:rsidR="007A4BE2" w:rsidRPr="005C0A9C" w:rsidRDefault="00CA1B1B" w:rsidP="00CA1B1B">
      <w:pPr>
        <w:spacing w:line="360" w:lineRule="auto"/>
        <w:ind w:left="6372" w:firstLine="708"/>
        <w:jc w:val="both"/>
        <w:rPr>
          <w:rFonts w:ascii="Verdana" w:hAnsi="Verdana"/>
          <w:sz w:val="20"/>
          <w:szCs w:val="20"/>
        </w:rPr>
      </w:pPr>
      <w:r w:rsidRPr="005C0A9C">
        <w:rPr>
          <w:rFonts w:ascii="Verdana" w:hAnsi="Verdana"/>
          <w:sz w:val="20"/>
          <w:szCs w:val="20"/>
        </w:rPr>
        <w:t>Roma, 18 giugno 2014</w:t>
      </w:r>
    </w:p>
    <w:p w:rsidR="0015646E" w:rsidRDefault="0015646E" w:rsidP="00B705B4">
      <w:pPr>
        <w:spacing w:line="360" w:lineRule="auto"/>
        <w:jc w:val="both"/>
        <w:rPr>
          <w:rFonts w:ascii="Verdana" w:hAnsi="Verdana"/>
          <w:sz w:val="24"/>
          <w:szCs w:val="24"/>
        </w:rPr>
      </w:pPr>
    </w:p>
    <w:p w:rsidR="003803E4" w:rsidRPr="0015646E" w:rsidRDefault="003803E4" w:rsidP="00EB7A4F">
      <w:pPr>
        <w:widowControl w:val="0"/>
        <w:autoSpaceDE w:val="0"/>
        <w:autoSpaceDN w:val="0"/>
        <w:adjustRightInd w:val="0"/>
        <w:spacing w:line="276" w:lineRule="auto"/>
        <w:jc w:val="both"/>
        <w:rPr>
          <w:rFonts w:ascii="Verdana" w:hAnsi="Verdana"/>
          <w:sz w:val="20"/>
          <w:szCs w:val="20"/>
        </w:rPr>
      </w:pPr>
      <w:r w:rsidRPr="0015646E">
        <w:rPr>
          <w:rFonts w:ascii="Verdana" w:hAnsi="Verdana"/>
          <w:sz w:val="20"/>
          <w:szCs w:val="20"/>
        </w:rPr>
        <w:t>In un mercato con i principali parametri della crescita bloccati, o addirittura con segno negativo, il franchising ha saputo sostanzialmente tenere le posizioni nel difficile quinquennio 2009-2013, registrando anche particolari spunti positivi come per l’export dei format in franchising italiani, sia per numero di punti vendita, sia per numero di insegne franchisor.</w:t>
      </w:r>
    </w:p>
    <w:p w:rsidR="00254E54" w:rsidRPr="0015646E" w:rsidRDefault="00254E54" w:rsidP="00EB7A4F">
      <w:pPr>
        <w:spacing w:line="276" w:lineRule="auto"/>
        <w:jc w:val="both"/>
        <w:rPr>
          <w:rFonts w:ascii="Verdana" w:hAnsi="Verdana"/>
          <w:sz w:val="20"/>
          <w:szCs w:val="20"/>
        </w:rPr>
      </w:pPr>
      <w:r w:rsidRPr="0015646E">
        <w:rPr>
          <w:rFonts w:ascii="Verdana" w:hAnsi="Verdana"/>
          <w:sz w:val="20"/>
          <w:szCs w:val="20"/>
        </w:rPr>
        <w:t>Appare innegabile, infatti, che a fronte di una crisi economica mondiale di eccezionale durata e profondità</w:t>
      </w:r>
      <w:r w:rsidR="00067C49" w:rsidRPr="0015646E">
        <w:rPr>
          <w:rFonts w:ascii="Verdana" w:hAnsi="Verdana"/>
          <w:sz w:val="20"/>
          <w:szCs w:val="20"/>
        </w:rPr>
        <w:t>,</w:t>
      </w:r>
      <w:r w:rsidRPr="0015646E">
        <w:rPr>
          <w:rFonts w:ascii="Verdana" w:hAnsi="Verdana"/>
          <w:sz w:val="20"/>
          <w:szCs w:val="20"/>
        </w:rPr>
        <w:t xml:space="preserve"> in Italia sia </w:t>
      </w:r>
      <w:r w:rsidRPr="0015646E">
        <w:rPr>
          <w:rFonts w:ascii="Verdana" w:hAnsi="Verdana"/>
          <w:color w:val="000000"/>
          <w:sz w:val="20"/>
          <w:szCs w:val="20"/>
        </w:rPr>
        <w:t>emerso un</w:t>
      </w:r>
      <w:r w:rsidRPr="0015646E">
        <w:rPr>
          <w:rFonts w:ascii="Verdana" w:hAnsi="Verdana"/>
          <w:sz w:val="20"/>
          <w:szCs w:val="20"/>
        </w:rPr>
        <w:t xml:space="preserve"> ripensamento di numerosi modelli sociali e più in particolare dei modelli di consumo. La crisi economica ha certamente inciso in profondità sui gusti e tendenze di acquisto dei consumatori, i quali ormai sono sempre più informati ed orientati verso il migliore rapporto prezzo-qualità. In queste tendenze di fondo</w:t>
      </w:r>
      <w:r w:rsidR="00474006" w:rsidRPr="0015646E">
        <w:rPr>
          <w:rFonts w:ascii="Verdana" w:hAnsi="Verdana"/>
          <w:sz w:val="20"/>
          <w:szCs w:val="20"/>
        </w:rPr>
        <w:t>,</w:t>
      </w:r>
      <w:r w:rsidRPr="0015646E">
        <w:rPr>
          <w:rFonts w:ascii="Verdana" w:hAnsi="Verdana"/>
          <w:sz w:val="20"/>
          <w:szCs w:val="20"/>
        </w:rPr>
        <w:t xml:space="preserve"> i sistemi in Franchising sembrano offrire al consumatore proprio quella sicurezza nella qualità, garantita dal marchio </w:t>
      </w:r>
      <w:r w:rsidRPr="0015646E">
        <w:rPr>
          <w:rFonts w:ascii="Verdana" w:hAnsi="Verdana"/>
          <w:color w:val="000000"/>
          <w:sz w:val="20"/>
          <w:szCs w:val="20"/>
        </w:rPr>
        <w:t>della rete;</w:t>
      </w:r>
      <w:r w:rsidRPr="0015646E">
        <w:rPr>
          <w:rFonts w:ascii="Verdana" w:hAnsi="Verdana"/>
          <w:sz w:val="20"/>
          <w:szCs w:val="20"/>
        </w:rPr>
        <w:t xml:space="preserve"> inoltre il prezzo non risente della </w:t>
      </w:r>
      <w:r w:rsidRPr="0015646E">
        <w:rPr>
          <w:rFonts w:ascii="Verdana" w:hAnsi="Verdana"/>
          <w:i/>
          <w:sz w:val="20"/>
          <w:szCs w:val="20"/>
        </w:rPr>
        <w:t>location</w:t>
      </w:r>
      <w:r w:rsidRPr="0015646E">
        <w:rPr>
          <w:rFonts w:ascii="Verdana" w:hAnsi="Verdana"/>
          <w:sz w:val="20"/>
          <w:szCs w:val="20"/>
        </w:rPr>
        <w:t xml:space="preserve"> proprio perché omogen</w:t>
      </w:r>
      <w:r w:rsidR="005C2638" w:rsidRPr="0015646E">
        <w:rPr>
          <w:rFonts w:ascii="Verdana" w:hAnsi="Verdana"/>
          <w:sz w:val="20"/>
          <w:szCs w:val="20"/>
        </w:rPr>
        <w:t>e</w:t>
      </w:r>
      <w:r w:rsidRPr="0015646E">
        <w:rPr>
          <w:rFonts w:ascii="Verdana" w:hAnsi="Verdana"/>
          <w:sz w:val="20"/>
          <w:szCs w:val="20"/>
        </w:rPr>
        <w:t>o a tutta la rete</w:t>
      </w:r>
      <w:r w:rsidR="005C2638" w:rsidRPr="0015646E">
        <w:rPr>
          <w:rFonts w:ascii="Verdana" w:hAnsi="Verdana"/>
          <w:sz w:val="20"/>
          <w:szCs w:val="20"/>
        </w:rPr>
        <w:t xml:space="preserve"> e soprattutto può essere competitivo grazie alle economie di scala assicurate dal Franchisor </w:t>
      </w:r>
      <w:r w:rsidRPr="0015646E">
        <w:rPr>
          <w:rFonts w:ascii="Verdana" w:hAnsi="Verdana"/>
          <w:sz w:val="20"/>
          <w:szCs w:val="20"/>
        </w:rPr>
        <w:t>. Questi ed altri fattori competitivi hanno consentito alle reti più radicate ed organizzate di resistere all’attuale sfavorevole situazione congiunturale, talvolt</w:t>
      </w:r>
      <w:r w:rsidR="00A37D36" w:rsidRPr="0015646E">
        <w:rPr>
          <w:rFonts w:ascii="Verdana" w:hAnsi="Verdana"/>
          <w:sz w:val="20"/>
          <w:szCs w:val="20"/>
        </w:rPr>
        <w:t>a orientandosi su nuovi mercati:</w:t>
      </w:r>
      <w:r w:rsidRPr="0015646E">
        <w:rPr>
          <w:rFonts w:ascii="Verdana" w:hAnsi="Verdana"/>
          <w:sz w:val="20"/>
          <w:szCs w:val="20"/>
        </w:rPr>
        <w:t xml:space="preserve"> ne è una dimostrazione il saldo in attivo di +120 nuovi punti vendita italiani all’estero, con la presenza di nuove reti che si internazionalizzano (+14).</w:t>
      </w:r>
    </w:p>
    <w:p w:rsidR="00474006" w:rsidRPr="0015646E" w:rsidRDefault="00474006" w:rsidP="00EB7A4F">
      <w:pPr>
        <w:spacing w:line="276" w:lineRule="auto"/>
        <w:jc w:val="both"/>
        <w:rPr>
          <w:rFonts w:ascii="Verdana" w:hAnsi="Verdana"/>
          <w:sz w:val="20"/>
          <w:szCs w:val="20"/>
        </w:rPr>
      </w:pPr>
      <w:r w:rsidRPr="0015646E">
        <w:rPr>
          <w:rFonts w:ascii="Verdana" w:hAnsi="Verdana"/>
          <w:sz w:val="20"/>
          <w:szCs w:val="20"/>
        </w:rPr>
        <w:t xml:space="preserve">Già nel rapporto dell’anno 2012 era stata messa in evidenza la capacità di tenuta delle reti in Franchising rispetto a sistemi di distribuzione tradizionali e/o indipendenti, del resto le strategie di tipo </w:t>
      </w:r>
      <w:r w:rsidRPr="0015646E">
        <w:rPr>
          <w:rFonts w:ascii="Verdana" w:hAnsi="Verdana"/>
          <w:i/>
          <w:sz w:val="20"/>
          <w:szCs w:val="20"/>
        </w:rPr>
        <w:t>stand alone</w:t>
      </w:r>
      <w:r w:rsidRPr="0015646E">
        <w:rPr>
          <w:rFonts w:ascii="Verdana" w:hAnsi="Verdana"/>
          <w:sz w:val="20"/>
          <w:szCs w:val="20"/>
        </w:rPr>
        <w:t xml:space="preserve"> sono sempre più improponibili in un mercato fortemente competitivo e selettivo come quello attuale, dove sono richiesti sempre più elevati </w:t>
      </w:r>
      <w:r w:rsidRPr="0015646E">
        <w:rPr>
          <w:rFonts w:ascii="Verdana" w:hAnsi="Verdana"/>
          <w:i/>
          <w:sz w:val="20"/>
          <w:szCs w:val="20"/>
        </w:rPr>
        <w:t>standard</w:t>
      </w:r>
      <w:r w:rsidRPr="0015646E">
        <w:rPr>
          <w:rFonts w:ascii="Verdana" w:hAnsi="Verdana"/>
          <w:sz w:val="20"/>
          <w:szCs w:val="20"/>
        </w:rPr>
        <w:t xml:space="preserve"> di servizio. </w:t>
      </w:r>
    </w:p>
    <w:p w:rsidR="00474006" w:rsidRPr="0015646E" w:rsidRDefault="00474006" w:rsidP="00EB7A4F">
      <w:pPr>
        <w:spacing w:line="276" w:lineRule="auto"/>
        <w:jc w:val="both"/>
        <w:rPr>
          <w:rFonts w:ascii="Verdana" w:hAnsi="Verdana"/>
          <w:sz w:val="20"/>
          <w:szCs w:val="20"/>
        </w:rPr>
      </w:pPr>
      <w:r w:rsidRPr="0015646E">
        <w:rPr>
          <w:rFonts w:ascii="Verdana" w:hAnsi="Verdana"/>
          <w:sz w:val="20"/>
          <w:szCs w:val="20"/>
        </w:rPr>
        <w:t xml:space="preserve">In un contesto economico difficile come quello attuale, </w:t>
      </w:r>
      <w:r w:rsidR="00A37D36" w:rsidRPr="0015646E">
        <w:rPr>
          <w:rFonts w:ascii="Verdana" w:hAnsi="Verdana"/>
          <w:sz w:val="20"/>
          <w:szCs w:val="20"/>
        </w:rPr>
        <w:t xml:space="preserve">quindi, </w:t>
      </w:r>
      <w:r w:rsidRPr="0015646E">
        <w:rPr>
          <w:rFonts w:ascii="Verdana" w:hAnsi="Verdana"/>
          <w:sz w:val="20"/>
          <w:szCs w:val="20"/>
        </w:rPr>
        <w:t xml:space="preserve">appare quasi fisiologico che il Franchising, come tutti i modelli fondati sulla cooperazione e sulla condivisione del rischio, siano favoriti nella competizione di mercato. </w:t>
      </w:r>
    </w:p>
    <w:p w:rsidR="00474006" w:rsidRPr="0015646E" w:rsidRDefault="00474006" w:rsidP="00EB7A4F">
      <w:pPr>
        <w:spacing w:line="276" w:lineRule="auto"/>
        <w:jc w:val="both"/>
        <w:rPr>
          <w:rFonts w:ascii="Verdana" w:hAnsi="Verdana"/>
          <w:sz w:val="20"/>
          <w:szCs w:val="20"/>
        </w:rPr>
      </w:pPr>
    </w:p>
    <w:p w:rsidR="00142F90" w:rsidRPr="0015646E" w:rsidRDefault="00474006" w:rsidP="00EB7A4F">
      <w:pPr>
        <w:spacing w:line="276" w:lineRule="auto"/>
        <w:jc w:val="both"/>
        <w:rPr>
          <w:rFonts w:ascii="Verdana" w:hAnsi="Verdana"/>
          <w:bCs/>
          <w:sz w:val="20"/>
          <w:szCs w:val="20"/>
        </w:rPr>
      </w:pPr>
      <w:r w:rsidRPr="0015646E">
        <w:rPr>
          <w:rFonts w:ascii="Verdana" w:hAnsi="Verdana"/>
          <w:bCs/>
          <w:sz w:val="20"/>
          <w:szCs w:val="20"/>
        </w:rPr>
        <w:t>I</w:t>
      </w:r>
      <w:r w:rsidR="00D074B9" w:rsidRPr="0015646E">
        <w:rPr>
          <w:rFonts w:ascii="Verdana" w:hAnsi="Verdana"/>
          <w:bCs/>
          <w:sz w:val="20"/>
          <w:szCs w:val="20"/>
        </w:rPr>
        <w:t>n Italia i</w:t>
      </w:r>
      <w:r w:rsidR="003803E4" w:rsidRPr="0015646E">
        <w:rPr>
          <w:rFonts w:ascii="Verdana" w:hAnsi="Verdana"/>
          <w:bCs/>
          <w:sz w:val="20"/>
          <w:szCs w:val="20"/>
        </w:rPr>
        <w:t>l settore è vitale anzi in crescita, e lo dimostra</w:t>
      </w:r>
      <w:r w:rsidR="00B66FE0" w:rsidRPr="0015646E">
        <w:rPr>
          <w:rFonts w:ascii="Verdana" w:hAnsi="Verdana"/>
          <w:bCs/>
          <w:sz w:val="20"/>
          <w:szCs w:val="20"/>
        </w:rPr>
        <w:t>,</w:t>
      </w:r>
      <w:r w:rsidR="003803E4" w:rsidRPr="0015646E">
        <w:rPr>
          <w:rFonts w:ascii="Verdana" w:hAnsi="Verdana"/>
          <w:bCs/>
          <w:sz w:val="20"/>
          <w:szCs w:val="20"/>
        </w:rPr>
        <w:t xml:space="preserve"> evidenziando</w:t>
      </w:r>
      <w:r w:rsidR="00B66FE0" w:rsidRPr="0015646E">
        <w:rPr>
          <w:rFonts w:ascii="Verdana" w:hAnsi="Verdana"/>
          <w:bCs/>
          <w:sz w:val="20"/>
          <w:szCs w:val="20"/>
        </w:rPr>
        <w:t xml:space="preserve"> nel quinquennio,</w:t>
      </w:r>
      <w:r w:rsidR="003803E4" w:rsidRPr="0015646E">
        <w:rPr>
          <w:rFonts w:ascii="Verdana" w:hAnsi="Verdana"/>
          <w:bCs/>
          <w:sz w:val="20"/>
          <w:szCs w:val="20"/>
        </w:rPr>
        <w:t xml:space="preserve"> </w:t>
      </w:r>
      <w:r w:rsidR="00B66FE0" w:rsidRPr="0015646E">
        <w:rPr>
          <w:rFonts w:ascii="Verdana" w:hAnsi="Verdana"/>
          <w:bCs/>
          <w:sz w:val="20"/>
          <w:szCs w:val="20"/>
        </w:rPr>
        <w:t xml:space="preserve">una serie di segni ‘più’: </w:t>
      </w:r>
      <w:r w:rsidR="003803E4" w:rsidRPr="0015646E">
        <w:rPr>
          <w:rFonts w:ascii="Verdana" w:hAnsi="Verdana"/>
          <w:bCs/>
          <w:sz w:val="20"/>
          <w:szCs w:val="20"/>
        </w:rPr>
        <w:t xml:space="preserve"> </w:t>
      </w:r>
      <w:r w:rsidR="00B66FE0" w:rsidRPr="0015646E">
        <w:rPr>
          <w:rFonts w:ascii="Verdana" w:hAnsi="Verdana"/>
          <w:bCs/>
          <w:sz w:val="20"/>
          <w:szCs w:val="20"/>
        </w:rPr>
        <w:t xml:space="preserve">+ 5,5% il </w:t>
      </w:r>
      <w:r w:rsidR="003803E4" w:rsidRPr="0015646E">
        <w:rPr>
          <w:rFonts w:ascii="Verdana" w:hAnsi="Verdana"/>
          <w:bCs/>
          <w:sz w:val="20"/>
          <w:szCs w:val="20"/>
        </w:rPr>
        <w:t>g</w:t>
      </w:r>
      <w:r w:rsidR="00142F90" w:rsidRPr="0015646E">
        <w:rPr>
          <w:rFonts w:ascii="Verdana" w:hAnsi="Verdana"/>
          <w:bCs/>
          <w:sz w:val="20"/>
          <w:szCs w:val="20"/>
        </w:rPr>
        <w:t>iro d’</w:t>
      </w:r>
      <w:r w:rsidR="003803E4" w:rsidRPr="0015646E">
        <w:rPr>
          <w:rFonts w:ascii="Verdana" w:hAnsi="Verdana"/>
          <w:bCs/>
          <w:sz w:val="20"/>
          <w:szCs w:val="20"/>
        </w:rPr>
        <w:t>a</w:t>
      </w:r>
      <w:r w:rsidR="00B66FE0" w:rsidRPr="0015646E">
        <w:rPr>
          <w:rFonts w:ascii="Verdana" w:hAnsi="Verdana"/>
          <w:bCs/>
          <w:sz w:val="20"/>
          <w:szCs w:val="20"/>
        </w:rPr>
        <w:t>ffari, + 4.6%</w:t>
      </w:r>
      <w:r w:rsidR="00142F90" w:rsidRPr="0015646E">
        <w:rPr>
          <w:rFonts w:ascii="Verdana" w:hAnsi="Verdana"/>
          <w:bCs/>
          <w:sz w:val="20"/>
          <w:szCs w:val="20"/>
        </w:rPr>
        <w:t xml:space="preserve"> gli addetti</w:t>
      </w:r>
      <w:r w:rsidR="00B66FE0" w:rsidRPr="0015646E">
        <w:rPr>
          <w:rFonts w:ascii="Verdana" w:hAnsi="Verdana"/>
          <w:bCs/>
          <w:sz w:val="20"/>
          <w:szCs w:val="20"/>
        </w:rPr>
        <w:t xml:space="preserve"> occupati nei punti vendita, + 14,2% </w:t>
      </w:r>
      <w:r w:rsidR="00142F90" w:rsidRPr="0015646E">
        <w:rPr>
          <w:rFonts w:ascii="Verdana" w:hAnsi="Verdana"/>
          <w:bCs/>
          <w:sz w:val="20"/>
          <w:szCs w:val="20"/>
        </w:rPr>
        <w:t>il numero di Franchisor</w:t>
      </w:r>
      <w:r w:rsidR="00D074B9" w:rsidRPr="0015646E">
        <w:rPr>
          <w:rFonts w:ascii="Verdana" w:hAnsi="Verdana"/>
          <w:bCs/>
          <w:sz w:val="20"/>
          <w:szCs w:val="20"/>
        </w:rPr>
        <w:t>, sostanzialmente invariato</w:t>
      </w:r>
      <w:r w:rsidR="00142F90" w:rsidRPr="0015646E">
        <w:rPr>
          <w:rFonts w:ascii="Verdana" w:hAnsi="Verdana"/>
          <w:bCs/>
          <w:sz w:val="20"/>
          <w:szCs w:val="20"/>
        </w:rPr>
        <w:t xml:space="preserve"> </w:t>
      </w:r>
      <w:r w:rsidR="00A2754A" w:rsidRPr="0015646E">
        <w:rPr>
          <w:rFonts w:ascii="Verdana" w:hAnsi="Verdana"/>
          <w:bCs/>
          <w:sz w:val="20"/>
          <w:szCs w:val="20"/>
        </w:rPr>
        <w:t xml:space="preserve">il </w:t>
      </w:r>
      <w:r w:rsidR="00D074B9" w:rsidRPr="0015646E">
        <w:rPr>
          <w:rFonts w:ascii="Verdana" w:hAnsi="Verdana"/>
          <w:bCs/>
          <w:sz w:val="20"/>
          <w:szCs w:val="20"/>
        </w:rPr>
        <w:t>numero dei punti vendita</w:t>
      </w:r>
      <w:r w:rsidR="00A2754A" w:rsidRPr="0015646E">
        <w:rPr>
          <w:rFonts w:ascii="Verdana" w:hAnsi="Verdana"/>
          <w:bCs/>
          <w:sz w:val="20"/>
          <w:szCs w:val="20"/>
        </w:rPr>
        <w:t>.</w:t>
      </w:r>
    </w:p>
    <w:p w:rsidR="002A51E6" w:rsidRPr="0015646E" w:rsidRDefault="00483502" w:rsidP="00EB7A4F">
      <w:pPr>
        <w:spacing w:line="276" w:lineRule="auto"/>
        <w:jc w:val="both"/>
        <w:rPr>
          <w:rFonts w:ascii="Verdana" w:hAnsi="Verdana"/>
          <w:sz w:val="20"/>
          <w:szCs w:val="20"/>
        </w:rPr>
      </w:pPr>
      <w:r w:rsidRPr="0015646E">
        <w:rPr>
          <w:rFonts w:ascii="Verdana" w:hAnsi="Verdana"/>
          <w:sz w:val="20"/>
          <w:szCs w:val="20"/>
        </w:rPr>
        <w:t xml:space="preserve">Nel 2013 </w:t>
      </w:r>
      <w:r w:rsidR="006D0BEF" w:rsidRPr="0015646E">
        <w:rPr>
          <w:rFonts w:ascii="Verdana" w:hAnsi="Verdana"/>
          <w:sz w:val="20"/>
          <w:szCs w:val="20"/>
        </w:rPr>
        <w:t>s</w:t>
      </w:r>
      <w:r w:rsidR="003D2038" w:rsidRPr="0015646E">
        <w:rPr>
          <w:rFonts w:ascii="Verdana" w:hAnsi="Verdana"/>
          <w:sz w:val="20"/>
          <w:szCs w:val="20"/>
        </w:rPr>
        <w:t>ono oltre 51</w:t>
      </w:r>
      <w:r w:rsidR="00A37D36" w:rsidRPr="0015646E">
        <w:rPr>
          <w:rFonts w:ascii="Verdana" w:hAnsi="Verdana"/>
          <w:sz w:val="20"/>
          <w:szCs w:val="20"/>
        </w:rPr>
        <w:t>.000</w:t>
      </w:r>
      <w:r w:rsidR="003D2038" w:rsidRPr="0015646E">
        <w:rPr>
          <w:rFonts w:ascii="Verdana" w:hAnsi="Verdana"/>
          <w:sz w:val="20"/>
          <w:szCs w:val="20"/>
        </w:rPr>
        <w:t xml:space="preserve"> i </w:t>
      </w:r>
      <w:r w:rsidR="00A3031E" w:rsidRPr="0015646E">
        <w:rPr>
          <w:rFonts w:ascii="Verdana" w:hAnsi="Verdana"/>
          <w:sz w:val="20"/>
          <w:szCs w:val="20"/>
        </w:rPr>
        <w:t xml:space="preserve">punti vendita </w:t>
      </w:r>
      <w:r w:rsidR="003D2038" w:rsidRPr="0015646E">
        <w:rPr>
          <w:rFonts w:ascii="Verdana" w:hAnsi="Verdana"/>
          <w:sz w:val="20"/>
          <w:szCs w:val="20"/>
        </w:rPr>
        <w:t xml:space="preserve">Franchising in Italia e </w:t>
      </w:r>
      <w:r w:rsidR="00A37D36" w:rsidRPr="0015646E">
        <w:rPr>
          <w:rFonts w:ascii="Verdana" w:hAnsi="Verdana"/>
          <w:sz w:val="20"/>
          <w:szCs w:val="20"/>
        </w:rPr>
        <w:t>danno lavoro a più di 187.000</w:t>
      </w:r>
      <w:r w:rsidR="00A3031E" w:rsidRPr="0015646E">
        <w:rPr>
          <w:rFonts w:ascii="Verdana" w:hAnsi="Verdana"/>
          <w:sz w:val="20"/>
          <w:szCs w:val="20"/>
        </w:rPr>
        <w:t xml:space="preserve"> addetti che contribuiscono ad un gi</w:t>
      </w:r>
      <w:r w:rsidR="00A85587" w:rsidRPr="0015646E">
        <w:rPr>
          <w:rFonts w:ascii="Verdana" w:hAnsi="Verdana"/>
          <w:sz w:val="20"/>
          <w:szCs w:val="20"/>
        </w:rPr>
        <w:t xml:space="preserve">ro di affari di oltre 23 miliardi </w:t>
      </w:r>
      <w:r w:rsidR="00A3031E" w:rsidRPr="0015646E">
        <w:rPr>
          <w:rFonts w:ascii="Verdana" w:hAnsi="Verdana"/>
          <w:sz w:val="20"/>
          <w:szCs w:val="20"/>
        </w:rPr>
        <w:t>di euro</w:t>
      </w:r>
      <w:r w:rsidR="002A51E6" w:rsidRPr="0015646E">
        <w:rPr>
          <w:rFonts w:ascii="Verdana" w:hAnsi="Verdana"/>
          <w:sz w:val="20"/>
          <w:szCs w:val="20"/>
        </w:rPr>
        <w:t xml:space="preserve">. </w:t>
      </w:r>
    </w:p>
    <w:p w:rsidR="00DF4A4E" w:rsidRPr="0015646E" w:rsidRDefault="00A82CCC" w:rsidP="00EB7A4F">
      <w:pPr>
        <w:spacing w:line="276" w:lineRule="auto"/>
        <w:jc w:val="both"/>
        <w:rPr>
          <w:rFonts w:ascii="Verdana" w:hAnsi="Verdana"/>
          <w:sz w:val="20"/>
          <w:szCs w:val="20"/>
        </w:rPr>
      </w:pPr>
      <w:r w:rsidRPr="0015646E">
        <w:rPr>
          <w:rFonts w:ascii="Verdana" w:hAnsi="Verdana"/>
          <w:sz w:val="20"/>
          <w:szCs w:val="20"/>
        </w:rPr>
        <w:t>Il  primato dei negozi in franchising spetta alla Lombardia con ben 8.509 punti ven</w:t>
      </w:r>
      <w:r w:rsidR="00930D96" w:rsidRPr="0015646E">
        <w:rPr>
          <w:rFonts w:ascii="Verdana" w:hAnsi="Verdana"/>
          <w:sz w:val="20"/>
          <w:szCs w:val="20"/>
        </w:rPr>
        <w:t>dita, seguita da Lazio, 6.208 e Piemonte 4.296;</w:t>
      </w:r>
      <w:r w:rsidRPr="0015646E">
        <w:rPr>
          <w:rFonts w:ascii="Verdana" w:hAnsi="Verdana"/>
          <w:sz w:val="20"/>
          <w:szCs w:val="20"/>
        </w:rPr>
        <w:t xml:space="preserve"> in quarta e quinta posizione ri</w:t>
      </w:r>
      <w:r w:rsidR="00930D96" w:rsidRPr="0015646E">
        <w:rPr>
          <w:rFonts w:ascii="Verdana" w:hAnsi="Verdana"/>
          <w:sz w:val="20"/>
          <w:szCs w:val="20"/>
        </w:rPr>
        <w:t>spettivamente Sicilia 4.284, e C</w:t>
      </w:r>
      <w:r w:rsidRPr="0015646E">
        <w:rPr>
          <w:rFonts w:ascii="Verdana" w:hAnsi="Verdana"/>
          <w:sz w:val="20"/>
          <w:szCs w:val="20"/>
        </w:rPr>
        <w:t>ampania 4.247, fanalino di coda la Valle d’Aosta con 144 negozi.</w:t>
      </w:r>
    </w:p>
    <w:p w:rsidR="00461EFF" w:rsidRPr="0015646E" w:rsidRDefault="00461EFF" w:rsidP="00EB7A4F">
      <w:pPr>
        <w:spacing w:line="276" w:lineRule="auto"/>
        <w:jc w:val="both"/>
        <w:rPr>
          <w:rFonts w:ascii="Verdana" w:hAnsi="Verdana"/>
          <w:sz w:val="20"/>
          <w:szCs w:val="20"/>
        </w:rPr>
      </w:pPr>
      <w:r w:rsidRPr="0015646E">
        <w:rPr>
          <w:rFonts w:ascii="Verdana" w:hAnsi="Verdana"/>
          <w:sz w:val="20"/>
          <w:szCs w:val="20"/>
        </w:rPr>
        <w:t xml:space="preserve">E’ il settore dei Servizi che attira più di tutti gli imprenditori del franchising con i suoi 24.349 punti vendita nel 2013 rappresentando il </w:t>
      </w:r>
      <w:r w:rsidR="006C7362">
        <w:rPr>
          <w:rFonts w:ascii="Verdana" w:hAnsi="Verdana"/>
          <w:sz w:val="20"/>
          <w:szCs w:val="20"/>
        </w:rPr>
        <w:t>47,6</w:t>
      </w:r>
      <w:r w:rsidRPr="0015646E">
        <w:rPr>
          <w:rFonts w:ascii="Verdana" w:hAnsi="Verdana"/>
          <w:sz w:val="20"/>
          <w:szCs w:val="20"/>
        </w:rPr>
        <w:t>% del totale, seguito dal comparto dei negozi di articoli alla persona che nel 2013, rispetto all’anno precedente, si sono arricchiti di 300 punti vendita passando da 12.253 a 12.585.</w:t>
      </w:r>
    </w:p>
    <w:p w:rsidR="00461EFF" w:rsidRPr="0015646E" w:rsidRDefault="005C2638" w:rsidP="00EB7A4F">
      <w:pPr>
        <w:spacing w:line="276" w:lineRule="auto"/>
        <w:jc w:val="both"/>
        <w:rPr>
          <w:rFonts w:ascii="Verdana" w:hAnsi="Verdana"/>
          <w:sz w:val="20"/>
          <w:szCs w:val="20"/>
        </w:rPr>
      </w:pPr>
      <w:r w:rsidRPr="0015646E">
        <w:rPr>
          <w:rFonts w:ascii="Verdana" w:hAnsi="Verdana"/>
          <w:sz w:val="20"/>
          <w:szCs w:val="20"/>
        </w:rPr>
        <w:t>Il 26% degli</w:t>
      </w:r>
      <w:r w:rsidRPr="0015646E">
        <w:rPr>
          <w:rFonts w:ascii="Verdana" w:hAnsi="Verdana"/>
          <w:color w:val="FF0000"/>
          <w:sz w:val="20"/>
          <w:szCs w:val="20"/>
        </w:rPr>
        <w:t xml:space="preserve"> </w:t>
      </w:r>
      <w:r w:rsidR="00461EFF" w:rsidRPr="0015646E">
        <w:rPr>
          <w:rFonts w:ascii="Verdana" w:hAnsi="Verdana"/>
          <w:sz w:val="20"/>
          <w:szCs w:val="20"/>
        </w:rPr>
        <w:t xml:space="preserve">imprenditori franchising, i </w:t>
      </w:r>
      <w:r w:rsidR="00764811" w:rsidRPr="0015646E">
        <w:rPr>
          <w:rFonts w:ascii="Verdana" w:hAnsi="Verdana"/>
          <w:sz w:val="20"/>
          <w:szCs w:val="20"/>
        </w:rPr>
        <w:t xml:space="preserve">cosiddetti </w:t>
      </w:r>
      <w:r w:rsidR="00461EFF" w:rsidRPr="0015646E">
        <w:rPr>
          <w:rFonts w:ascii="Verdana" w:hAnsi="Verdana"/>
          <w:sz w:val="20"/>
          <w:szCs w:val="20"/>
        </w:rPr>
        <w:t>franchisee, hanno un ‘età compresa tra i</w:t>
      </w:r>
      <w:r w:rsidRPr="0015646E">
        <w:rPr>
          <w:rFonts w:ascii="Verdana" w:hAnsi="Verdana"/>
          <w:sz w:val="20"/>
          <w:szCs w:val="20"/>
        </w:rPr>
        <w:t xml:space="preserve"> 25 e 35</w:t>
      </w:r>
      <w:r w:rsidR="00461EFF" w:rsidRPr="0015646E">
        <w:rPr>
          <w:rFonts w:ascii="Verdana" w:hAnsi="Verdana"/>
          <w:sz w:val="20"/>
          <w:szCs w:val="20"/>
        </w:rPr>
        <w:t xml:space="preserve"> anni</w:t>
      </w:r>
      <w:r w:rsidRPr="0015646E">
        <w:rPr>
          <w:rFonts w:ascii="Verdana" w:hAnsi="Verdana"/>
          <w:sz w:val="20"/>
          <w:szCs w:val="20"/>
        </w:rPr>
        <w:t>,</w:t>
      </w:r>
      <w:r w:rsidR="00397E8C" w:rsidRPr="0015646E">
        <w:rPr>
          <w:rFonts w:ascii="Verdana" w:hAnsi="Verdana"/>
          <w:sz w:val="20"/>
          <w:szCs w:val="20"/>
        </w:rPr>
        <w:t xml:space="preserve"> </w:t>
      </w:r>
      <w:r w:rsidRPr="0015646E">
        <w:rPr>
          <w:rFonts w:ascii="Verdana" w:hAnsi="Verdana"/>
          <w:sz w:val="20"/>
          <w:szCs w:val="20"/>
        </w:rPr>
        <w:t xml:space="preserve">il 57% tra 36 e 45, </w:t>
      </w:r>
      <w:r w:rsidR="00461EFF" w:rsidRPr="0015646E">
        <w:rPr>
          <w:rFonts w:ascii="Verdana" w:hAnsi="Verdana"/>
          <w:sz w:val="20"/>
          <w:szCs w:val="20"/>
        </w:rPr>
        <w:t xml:space="preserve"> e il 38%</w:t>
      </w:r>
      <w:r w:rsidRPr="0015646E">
        <w:rPr>
          <w:rFonts w:ascii="Verdana" w:hAnsi="Verdana"/>
          <w:sz w:val="20"/>
          <w:szCs w:val="20"/>
        </w:rPr>
        <w:t xml:space="preserve"> del totale</w:t>
      </w:r>
      <w:r w:rsidR="00461EFF" w:rsidRPr="0015646E">
        <w:rPr>
          <w:rFonts w:ascii="Verdana" w:hAnsi="Verdana"/>
          <w:sz w:val="20"/>
          <w:szCs w:val="20"/>
        </w:rPr>
        <w:t xml:space="preserve"> dei punti vendita sono di imprenditrici donne.</w:t>
      </w:r>
    </w:p>
    <w:p w:rsidR="00A82CCC" w:rsidRPr="0015646E" w:rsidRDefault="00976617" w:rsidP="00EB7A4F">
      <w:pPr>
        <w:spacing w:line="276" w:lineRule="auto"/>
        <w:jc w:val="both"/>
        <w:rPr>
          <w:rFonts w:ascii="Verdana" w:hAnsi="Verdana"/>
          <w:sz w:val="20"/>
          <w:szCs w:val="20"/>
        </w:rPr>
      </w:pPr>
      <w:r w:rsidRPr="0015646E">
        <w:rPr>
          <w:rFonts w:ascii="Verdana" w:hAnsi="Verdana"/>
          <w:sz w:val="20"/>
          <w:szCs w:val="20"/>
        </w:rPr>
        <w:lastRenderedPageBreak/>
        <w:t>I fatturati maggiori vengono registrati dalle ret</w:t>
      </w:r>
      <w:r w:rsidR="004553EA" w:rsidRPr="0015646E">
        <w:rPr>
          <w:rFonts w:ascii="Verdana" w:hAnsi="Verdana"/>
          <w:strike/>
          <w:sz w:val="20"/>
          <w:szCs w:val="20"/>
        </w:rPr>
        <w:t>i</w:t>
      </w:r>
      <w:r w:rsidRPr="0015646E">
        <w:rPr>
          <w:rFonts w:ascii="Verdana" w:hAnsi="Verdana"/>
          <w:color w:val="FF0000"/>
          <w:sz w:val="20"/>
          <w:szCs w:val="20"/>
        </w:rPr>
        <w:t xml:space="preserve"> </w:t>
      </w:r>
      <w:r w:rsidRPr="0015646E">
        <w:rPr>
          <w:rFonts w:ascii="Verdana" w:hAnsi="Verdana"/>
          <w:sz w:val="20"/>
          <w:szCs w:val="20"/>
        </w:rPr>
        <w:t xml:space="preserve">di </w:t>
      </w:r>
      <w:proofErr w:type="spellStart"/>
      <w:r w:rsidRPr="0015646E">
        <w:rPr>
          <w:rFonts w:ascii="Verdana" w:hAnsi="Verdana"/>
          <w:i/>
          <w:sz w:val="20"/>
          <w:szCs w:val="20"/>
        </w:rPr>
        <w:t>gdo</w:t>
      </w:r>
      <w:proofErr w:type="spellEnd"/>
      <w:r w:rsidRPr="0015646E">
        <w:rPr>
          <w:rFonts w:ascii="Verdana" w:hAnsi="Verdana"/>
          <w:i/>
          <w:sz w:val="20"/>
          <w:szCs w:val="20"/>
        </w:rPr>
        <w:t xml:space="preserve"> </w:t>
      </w:r>
      <w:proofErr w:type="spellStart"/>
      <w:r w:rsidRPr="0015646E">
        <w:rPr>
          <w:rFonts w:ascii="Verdana" w:hAnsi="Verdana"/>
          <w:i/>
          <w:sz w:val="20"/>
          <w:szCs w:val="20"/>
        </w:rPr>
        <w:t>food</w:t>
      </w:r>
      <w:proofErr w:type="spellEnd"/>
      <w:r w:rsidRPr="0015646E">
        <w:rPr>
          <w:rFonts w:ascii="Verdana" w:hAnsi="Verdana"/>
          <w:i/>
          <w:sz w:val="20"/>
          <w:szCs w:val="20"/>
        </w:rPr>
        <w:t>-alimentari</w:t>
      </w:r>
      <w:r w:rsidRPr="0015646E">
        <w:rPr>
          <w:rFonts w:ascii="Verdana" w:hAnsi="Verdana"/>
          <w:sz w:val="20"/>
          <w:szCs w:val="20"/>
        </w:rPr>
        <w:t xml:space="preserve"> (</w:t>
      </w:r>
      <w:r w:rsidR="00831D2F" w:rsidRPr="0015646E">
        <w:rPr>
          <w:rFonts w:ascii="Verdana" w:hAnsi="Verdana"/>
          <w:sz w:val="20"/>
          <w:szCs w:val="20"/>
        </w:rPr>
        <w:t xml:space="preserve">oltre 7 miliardi di </w:t>
      </w:r>
      <w:r w:rsidRPr="0015646E">
        <w:rPr>
          <w:rFonts w:ascii="Verdana" w:hAnsi="Verdana"/>
          <w:sz w:val="20"/>
          <w:szCs w:val="20"/>
        </w:rPr>
        <w:t>euro) che lasciano agli ultim</w:t>
      </w:r>
      <w:r w:rsidR="00831D2F" w:rsidRPr="0015646E">
        <w:rPr>
          <w:rFonts w:ascii="Verdana" w:hAnsi="Verdana"/>
          <w:sz w:val="20"/>
          <w:szCs w:val="20"/>
        </w:rPr>
        <w:t>i posti gli alberghi (78 milioni e mezzo di</w:t>
      </w:r>
      <w:r w:rsidRPr="0015646E">
        <w:rPr>
          <w:rFonts w:ascii="Verdana" w:hAnsi="Verdana"/>
          <w:sz w:val="20"/>
          <w:szCs w:val="20"/>
        </w:rPr>
        <w:t xml:space="preserve"> </w:t>
      </w:r>
      <w:r w:rsidR="00831D2F" w:rsidRPr="0015646E">
        <w:rPr>
          <w:rFonts w:ascii="Verdana" w:hAnsi="Verdana"/>
          <w:sz w:val="20"/>
          <w:szCs w:val="20"/>
        </w:rPr>
        <w:t>euro) e le ludoteche ( quasi 76 milioni</w:t>
      </w:r>
      <w:r w:rsidRPr="0015646E">
        <w:rPr>
          <w:rFonts w:ascii="Verdana" w:hAnsi="Verdana"/>
          <w:sz w:val="20"/>
          <w:szCs w:val="20"/>
        </w:rPr>
        <w:t xml:space="preserve"> euro).</w:t>
      </w:r>
    </w:p>
    <w:p w:rsidR="00FA7359" w:rsidRPr="0015646E" w:rsidRDefault="00C311F0" w:rsidP="00EB7A4F">
      <w:pPr>
        <w:spacing w:line="276" w:lineRule="auto"/>
        <w:jc w:val="both"/>
        <w:rPr>
          <w:rFonts w:ascii="Verdana" w:hAnsi="Verdana"/>
          <w:bCs/>
          <w:sz w:val="20"/>
          <w:szCs w:val="20"/>
        </w:rPr>
      </w:pPr>
      <w:r w:rsidRPr="0015646E">
        <w:rPr>
          <w:rFonts w:ascii="Verdana" w:hAnsi="Verdana"/>
          <w:sz w:val="20"/>
          <w:szCs w:val="20"/>
        </w:rPr>
        <w:t xml:space="preserve">In controtendenza  </w:t>
      </w:r>
      <w:r w:rsidR="00142F90" w:rsidRPr="0015646E">
        <w:rPr>
          <w:rFonts w:ascii="Verdana" w:hAnsi="Verdana"/>
          <w:sz w:val="20"/>
          <w:szCs w:val="20"/>
        </w:rPr>
        <w:t xml:space="preserve">la performance nel 2013 del settore immobiliare che ha </w:t>
      </w:r>
      <w:r w:rsidR="00FA7359" w:rsidRPr="0015646E">
        <w:rPr>
          <w:rFonts w:ascii="Verdana" w:hAnsi="Verdana"/>
          <w:sz w:val="20"/>
          <w:szCs w:val="20"/>
        </w:rPr>
        <w:t>subito una perdita di fatturato di €120 milioni di euro, di 695 punti vendita in Franchising e 1.823 addetti occupati.</w:t>
      </w:r>
    </w:p>
    <w:p w:rsidR="00476D40" w:rsidRPr="0015646E" w:rsidRDefault="00476D40" w:rsidP="00EB7A4F">
      <w:pPr>
        <w:spacing w:line="276" w:lineRule="auto"/>
        <w:jc w:val="both"/>
        <w:rPr>
          <w:rFonts w:ascii="Verdana" w:hAnsi="Verdana"/>
          <w:sz w:val="20"/>
          <w:szCs w:val="20"/>
        </w:rPr>
      </w:pPr>
    </w:p>
    <w:p w:rsidR="0015646E" w:rsidRPr="0015646E" w:rsidRDefault="00B0199B" w:rsidP="00EB7A4F">
      <w:pPr>
        <w:spacing w:line="276" w:lineRule="auto"/>
        <w:jc w:val="both"/>
        <w:rPr>
          <w:lang w:eastAsia="it-IT"/>
        </w:rPr>
      </w:pPr>
      <w:r w:rsidRPr="0015646E">
        <w:rPr>
          <w:rFonts w:ascii="Verdana" w:hAnsi="Verdana"/>
          <w:b/>
          <w:sz w:val="20"/>
          <w:szCs w:val="20"/>
        </w:rPr>
        <w:t>Questi i dati principali emersi dal rapporto</w:t>
      </w:r>
      <w:r w:rsidR="00860227" w:rsidRPr="0015646E">
        <w:rPr>
          <w:rFonts w:ascii="Verdana" w:hAnsi="Verdana"/>
          <w:b/>
          <w:sz w:val="20"/>
          <w:szCs w:val="20"/>
        </w:rPr>
        <w:t xml:space="preserve"> </w:t>
      </w:r>
      <w:r w:rsidR="00C2609C" w:rsidRPr="0015646E">
        <w:rPr>
          <w:rFonts w:ascii="Verdana" w:hAnsi="Verdana"/>
          <w:b/>
          <w:sz w:val="20"/>
          <w:szCs w:val="20"/>
        </w:rPr>
        <w:t>Assofranchising</w:t>
      </w:r>
      <w:r w:rsidRPr="0015646E">
        <w:rPr>
          <w:rFonts w:ascii="Verdana" w:hAnsi="Verdana"/>
          <w:b/>
          <w:sz w:val="20"/>
          <w:szCs w:val="20"/>
        </w:rPr>
        <w:t xml:space="preserve"> 2013.</w:t>
      </w:r>
      <w:bookmarkStart w:id="0" w:name="_Toc389745456"/>
    </w:p>
    <w:p w:rsidR="00B52AAC" w:rsidRPr="0015646E" w:rsidRDefault="00B52AAC" w:rsidP="00EB7A4F">
      <w:pPr>
        <w:pStyle w:val="Titolo1"/>
        <w:spacing w:line="276" w:lineRule="auto"/>
        <w:jc w:val="center"/>
        <w:rPr>
          <w:rFonts w:ascii="Verdana" w:hAnsi="Verdana"/>
          <w:sz w:val="20"/>
          <w:szCs w:val="20"/>
        </w:rPr>
      </w:pPr>
      <w:r w:rsidRPr="0015646E">
        <w:rPr>
          <w:rFonts w:ascii="Verdana" w:hAnsi="Verdana"/>
          <w:sz w:val="20"/>
          <w:szCs w:val="20"/>
        </w:rPr>
        <w:t>Il Franchising in Italia: principali indicatori</w:t>
      </w:r>
      <w:bookmarkEnd w:id="0"/>
    </w:p>
    <w:p w:rsidR="00EF064B" w:rsidRPr="0015646E" w:rsidRDefault="00EF064B" w:rsidP="00EB7A4F">
      <w:pPr>
        <w:spacing w:line="276" w:lineRule="auto"/>
        <w:rPr>
          <w:rFonts w:ascii="Verdana" w:hAnsi="Verdana"/>
          <w:sz w:val="20"/>
          <w:szCs w:val="20"/>
          <w:lang w:eastAsia="it-IT"/>
        </w:rPr>
      </w:pPr>
    </w:p>
    <w:p w:rsidR="005C1391" w:rsidRPr="0015646E" w:rsidRDefault="00B52AAC" w:rsidP="00EB7A4F">
      <w:pPr>
        <w:pStyle w:val="Elencoacolori-Colore11"/>
        <w:ind w:left="0"/>
        <w:jc w:val="both"/>
        <w:rPr>
          <w:rFonts w:ascii="Verdana" w:hAnsi="Verdana"/>
          <w:sz w:val="20"/>
          <w:szCs w:val="20"/>
        </w:rPr>
      </w:pPr>
      <w:r w:rsidRPr="0015646E">
        <w:rPr>
          <w:rFonts w:ascii="Verdana" w:hAnsi="Verdana"/>
          <w:sz w:val="20"/>
          <w:szCs w:val="20"/>
        </w:rPr>
        <w:t xml:space="preserve">La successiva tabella fotografa, mediante alcuni indicatori di sintesi, il sistema del Franchising in Italia </w:t>
      </w:r>
      <w:r w:rsidRPr="0015646E">
        <w:rPr>
          <w:rFonts w:ascii="Verdana" w:hAnsi="Verdana"/>
          <w:color w:val="000000"/>
          <w:sz w:val="20"/>
          <w:szCs w:val="20"/>
        </w:rPr>
        <w:t>al 2013</w:t>
      </w:r>
      <w:r w:rsidRPr="0015646E">
        <w:rPr>
          <w:rFonts w:ascii="Verdana" w:hAnsi="Verdana"/>
          <w:sz w:val="20"/>
          <w:szCs w:val="20"/>
        </w:rPr>
        <w:t xml:space="preserve">, evidenziandone anche il confronto con l’anno precedente. </w:t>
      </w:r>
    </w:p>
    <w:p w:rsidR="00B52AAC" w:rsidRPr="0015646E" w:rsidRDefault="00B52AAC" w:rsidP="00B52AAC">
      <w:pPr>
        <w:pStyle w:val="Elencoacolori-Colore11"/>
        <w:spacing w:after="0" w:line="240" w:lineRule="auto"/>
        <w:ind w:left="0"/>
        <w:jc w:val="both"/>
        <w:rPr>
          <w:rFonts w:ascii="Verdana" w:hAnsi="Verdana"/>
          <w:i/>
          <w:sz w:val="20"/>
          <w:szCs w:val="20"/>
        </w:rPr>
      </w:pPr>
    </w:p>
    <w:tbl>
      <w:tblPr>
        <w:tblW w:w="0" w:type="auto"/>
        <w:jc w:val="center"/>
        <w:tblInd w:w="59" w:type="dxa"/>
        <w:tblCellMar>
          <w:left w:w="70" w:type="dxa"/>
          <w:right w:w="70" w:type="dxa"/>
        </w:tblCellMar>
        <w:tblLook w:val="04A0" w:firstRow="1" w:lastRow="0" w:firstColumn="1" w:lastColumn="0" w:noHBand="0" w:noVBand="1"/>
      </w:tblPr>
      <w:tblGrid>
        <w:gridCol w:w="4575"/>
        <w:gridCol w:w="1524"/>
        <w:gridCol w:w="1186"/>
        <w:gridCol w:w="1186"/>
        <w:gridCol w:w="1248"/>
      </w:tblGrid>
      <w:tr w:rsidR="00B177F6" w:rsidRPr="00EB7A4F" w:rsidTr="00B36A0E">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DFA312"/>
            <w:noWrap/>
            <w:vAlign w:val="center"/>
            <w:hideMark/>
          </w:tcPr>
          <w:p w:rsidR="00B177F6" w:rsidRPr="00EB7A4F" w:rsidRDefault="00B177F6" w:rsidP="005B3729">
            <w:pPr>
              <w:jc w:val="center"/>
              <w:rPr>
                <w:rFonts w:ascii="Verdana" w:hAnsi="Verdana" w:cs="Arial"/>
                <w:b/>
                <w:sz w:val="20"/>
                <w:szCs w:val="20"/>
              </w:rPr>
            </w:pPr>
            <w:r w:rsidRPr="00EB7A4F">
              <w:rPr>
                <w:rFonts w:ascii="Verdana" w:hAnsi="Verdana" w:cs="Arial"/>
                <w:b/>
                <w:sz w:val="20"/>
                <w:szCs w:val="20"/>
              </w:rPr>
              <w:t>INDICATORI</w:t>
            </w:r>
          </w:p>
        </w:tc>
        <w:tc>
          <w:tcPr>
            <w:tcW w:w="2919" w:type="dxa"/>
            <w:gridSpan w:val="2"/>
            <w:tcBorders>
              <w:top w:val="single" w:sz="4" w:space="0" w:color="auto"/>
              <w:left w:val="nil"/>
              <w:bottom w:val="single" w:sz="4" w:space="0" w:color="auto"/>
              <w:right w:val="single" w:sz="4" w:space="0" w:color="000000"/>
            </w:tcBorders>
            <w:shd w:val="clear" w:color="auto" w:fill="DFA312"/>
            <w:noWrap/>
            <w:vAlign w:val="center"/>
            <w:hideMark/>
          </w:tcPr>
          <w:p w:rsidR="00B177F6" w:rsidRPr="00EB7A4F" w:rsidRDefault="00B177F6" w:rsidP="005B3729">
            <w:pPr>
              <w:jc w:val="center"/>
              <w:rPr>
                <w:rFonts w:ascii="Verdana" w:hAnsi="Verdana" w:cs="Arial"/>
                <w:b/>
                <w:sz w:val="20"/>
                <w:szCs w:val="20"/>
              </w:rPr>
            </w:pPr>
            <w:r w:rsidRPr="00EB7A4F">
              <w:rPr>
                <w:rFonts w:ascii="Verdana" w:hAnsi="Verdana" w:cs="Arial"/>
                <w:b/>
                <w:sz w:val="20"/>
                <w:szCs w:val="20"/>
              </w:rPr>
              <w:t>ANNO DI RIFERIMENTO</w:t>
            </w:r>
          </w:p>
        </w:tc>
        <w:tc>
          <w:tcPr>
            <w:tcW w:w="2620" w:type="dxa"/>
            <w:gridSpan w:val="2"/>
            <w:tcBorders>
              <w:top w:val="single" w:sz="4" w:space="0" w:color="auto"/>
              <w:left w:val="nil"/>
              <w:bottom w:val="single" w:sz="4" w:space="0" w:color="auto"/>
              <w:right w:val="single" w:sz="4" w:space="0" w:color="auto"/>
            </w:tcBorders>
            <w:shd w:val="clear" w:color="auto" w:fill="DFA312"/>
            <w:noWrap/>
            <w:vAlign w:val="center"/>
            <w:hideMark/>
          </w:tcPr>
          <w:p w:rsidR="005B3729" w:rsidRPr="00EB7A4F" w:rsidRDefault="005B3729" w:rsidP="005B3729">
            <w:pPr>
              <w:jc w:val="center"/>
              <w:rPr>
                <w:rFonts w:ascii="Verdana" w:hAnsi="Verdana" w:cs="Arial"/>
                <w:b/>
                <w:sz w:val="20"/>
                <w:szCs w:val="20"/>
              </w:rPr>
            </w:pPr>
          </w:p>
          <w:p w:rsidR="00B177F6" w:rsidRPr="00EB7A4F" w:rsidRDefault="00B177F6" w:rsidP="005B3729">
            <w:pPr>
              <w:jc w:val="center"/>
              <w:rPr>
                <w:rFonts w:ascii="Verdana" w:hAnsi="Verdana" w:cs="Arial"/>
                <w:b/>
                <w:sz w:val="20"/>
                <w:szCs w:val="20"/>
              </w:rPr>
            </w:pPr>
            <w:r w:rsidRPr="00EB7A4F">
              <w:rPr>
                <w:rFonts w:ascii="Verdana" w:hAnsi="Verdana" w:cs="Arial"/>
                <w:b/>
                <w:sz w:val="20"/>
                <w:szCs w:val="20"/>
              </w:rPr>
              <w:t xml:space="preserve">DIFFERENZA 2013 </w:t>
            </w:r>
            <w:r w:rsidR="005B3729" w:rsidRPr="00EB7A4F">
              <w:rPr>
                <w:rFonts w:ascii="Verdana" w:hAnsi="Verdana" w:cs="Arial"/>
                <w:b/>
                <w:sz w:val="20"/>
                <w:szCs w:val="20"/>
              </w:rPr>
              <w:br/>
            </w:r>
            <w:r w:rsidRPr="00EB7A4F">
              <w:rPr>
                <w:rFonts w:ascii="Verdana" w:hAnsi="Verdana" w:cs="Arial"/>
                <w:b/>
                <w:sz w:val="20"/>
                <w:szCs w:val="20"/>
              </w:rPr>
              <w:t>SU 2012</w:t>
            </w:r>
          </w:p>
          <w:p w:rsidR="005B3729" w:rsidRPr="00EB7A4F" w:rsidRDefault="005B3729" w:rsidP="005B3729">
            <w:pPr>
              <w:jc w:val="center"/>
              <w:rPr>
                <w:rFonts w:ascii="Verdana" w:hAnsi="Verdana" w:cs="Arial"/>
                <w:b/>
                <w:sz w:val="20"/>
                <w:szCs w:val="20"/>
              </w:rPr>
            </w:pPr>
          </w:p>
        </w:tc>
      </w:tr>
      <w:tr w:rsidR="00B177F6" w:rsidRPr="00EB7A4F" w:rsidTr="00B36A0E">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B177F6" w:rsidRPr="00EB7A4F" w:rsidRDefault="00B177F6" w:rsidP="0036425A">
            <w:pPr>
              <w:rPr>
                <w:rFonts w:ascii="Verdana" w:hAnsi="Verdana" w:cs="Arial"/>
                <w:sz w:val="20"/>
                <w:szCs w:val="20"/>
              </w:rPr>
            </w:pPr>
            <w:r w:rsidRPr="00EB7A4F">
              <w:rPr>
                <w:rFonts w:ascii="Verdana" w:hAnsi="Verdana" w:cs="Arial"/>
                <w:sz w:val="20"/>
                <w:szCs w:val="20"/>
              </w:rPr>
              <w:t> </w:t>
            </w:r>
          </w:p>
        </w:tc>
        <w:tc>
          <w:tcPr>
            <w:tcW w:w="1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177F6" w:rsidRPr="00EB7A4F" w:rsidRDefault="00B177F6" w:rsidP="005B3729">
            <w:pPr>
              <w:jc w:val="center"/>
              <w:rPr>
                <w:rFonts w:ascii="Verdana" w:hAnsi="Verdana" w:cs="Arial"/>
                <w:b/>
                <w:sz w:val="20"/>
                <w:szCs w:val="20"/>
              </w:rPr>
            </w:pPr>
            <w:r w:rsidRPr="00EB7A4F">
              <w:rPr>
                <w:rFonts w:ascii="Verdana" w:hAnsi="Verdana" w:cs="Arial"/>
                <w:b/>
                <w:sz w:val="20"/>
                <w:szCs w:val="20"/>
              </w:rPr>
              <w:t>2012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177F6" w:rsidRPr="00EB7A4F" w:rsidRDefault="00B177F6" w:rsidP="005B3729">
            <w:pPr>
              <w:jc w:val="center"/>
              <w:rPr>
                <w:rFonts w:ascii="Verdana" w:hAnsi="Verdana" w:cs="Arial"/>
                <w:b/>
                <w:sz w:val="20"/>
                <w:szCs w:val="20"/>
              </w:rPr>
            </w:pPr>
            <w:r w:rsidRPr="00EB7A4F">
              <w:rPr>
                <w:rFonts w:ascii="Verdana" w:hAnsi="Verdana" w:cs="Arial"/>
                <w:b/>
                <w:sz w:val="20"/>
                <w:szCs w:val="20"/>
              </w:rPr>
              <w:t>2013</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177F6" w:rsidRPr="00EB7A4F" w:rsidRDefault="00B177F6" w:rsidP="005B3729">
            <w:pPr>
              <w:jc w:val="center"/>
              <w:rPr>
                <w:rFonts w:ascii="Verdana" w:hAnsi="Verdana" w:cs="Arial"/>
                <w:b/>
                <w:sz w:val="20"/>
                <w:szCs w:val="20"/>
              </w:rPr>
            </w:pPr>
            <w:r w:rsidRPr="00EB7A4F">
              <w:rPr>
                <w:rFonts w:ascii="Verdana" w:hAnsi="Verdana" w:cs="Arial"/>
                <w:b/>
                <w:sz w:val="20"/>
                <w:szCs w:val="20"/>
              </w:rPr>
              <w:t>Valore assoluto</w:t>
            </w:r>
          </w:p>
        </w:tc>
        <w:tc>
          <w:tcPr>
            <w:tcW w:w="134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177F6" w:rsidRPr="00EB7A4F" w:rsidRDefault="00B177F6" w:rsidP="005B3729">
            <w:pPr>
              <w:jc w:val="center"/>
              <w:rPr>
                <w:rFonts w:ascii="Verdana" w:hAnsi="Verdana" w:cs="Arial"/>
                <w:b/>
                <w:sz w:val="20"/>
                <w:szCs w:val="20"/>
              </w:rPr>
            </w:pPr>
            <w:r w:rsidRPr="00EB7A4F">
              <w:rPr>
                <w:rFonts w:ascii="Verdana" w:hAnsi="Verdana" w:cs="Arial"/>
                <w:b/>
                <w:sz w:val="20"/>
                <w:szCs w:val="20"/>
              </w:rPr>
              <w:t>Valore %</w:t>
            </w:r>
          </w:p>
        </w:tc>
      </w:tr>
      <w:tr w:rsidR="00B177F6" w:rsidRPr="00EB7A4F" w:rsidTr="005375A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7F6" w:rsidRPr="00EB7A4F" w:rsidRDefault="00B177F6" w:rsidP="0036425A">
            <w:pPr>
              <w:rPr>
                <w:rFonts w:ascii="Verdana" w:hAnsi="Verdana" w:cs="Arial"/>
                <w:sz w:val="20"/>
                <w:szCs w:val="20"/>
              </w:rPr>
            </w:pPr>
            <w:r w:rsidRPr="00EB7A4F">
              <w:rPr>
                <w:rFonts w:ascii="Verdana" w:hAnsi="Verdana" w:cs="Arial"/>
                <w:sz w:val="20"/>
                <w:szCs w:val="20"/>
              </w:rPr>
              <w:t>Giro d'affari (mln di euro)</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 xml:space="preserve">23.262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23.505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+ 243</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8E7BC0">
            <w:pPr>
              <w:jc w:val="center"/>
              <w:rPr>
                <w:rFonts w:ascii="Verdana" w:hAnsi="Verdana" w:cs="Arial"/>
                <w:sz w:val="20"/>
                <w:szCs w:val="20"/>
              </w:rPr>
            </w:pPr>
            <w:r w:rsidRPr="00EB7A4F">
              <w:rPr>
                <w:rFonts w:ascii="Verdana" w:hAnsi="Verdana" w:cs="Arial"/>
                <w:sz w:val="20"/>
                <w:szCs w:val="20"/>
              </w:rPr>
              <w:t>+ 1,0%</w:t>
            </w:r>
          </w:p>
        </w:tc>
      </w:tr>
      <w:tr w:rsidR="00B177F6" w:rsidRPr="00EB7A4F" w:rsidTr="005375A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7F6" w:rsidRPr="00EB7A4F" w:rsidRDefault="00B177F6" w:rsidP="0036425A">
            <w:pPr>
              <w:rPr>
                <w:rFonts w:ascii="Verdana" w:hAnsi="Verdana" w:cs="Arial"/>
                <w:sz w:val="20"/>
                <w:szCs w:val="20"/>
              </w:rPr>
            </w:pPr>
            <w:r w:rsidRPr="00EB7A4F">
              <w:rPr>
                <w:rFonts w:ascii="Verdana" w:hAnsi="Verdana" w:cs="Arial"/>
                <w:sz w:val="20"/>
                <w:szCs w:val="20"/>
              </w:rPr>
              <w:t>Insegne operative in Italia</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938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939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+ 1</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+ 0,1%</w:t>
            </w:r>
          </w:p>
        </w:tc>
      </w:tr>
      <w:tr w:rsidR="00B177F6" w:rsidRPr="00EB7A4F" w:rsidTr="005375A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7F6" w:rsidRPr="00EB7A4F" w:rsidRDefault="00B177F6" w:rsidP="0036425A">
            <w:pPr>
              <w:rPr>
                <w:rFonts w:ascii="Verdana" w:hAnsi="Verdana" w:cs="Arial"/>
                <w:sz w:val="20"/>
                <w:szCs w:val="20"/>
              </w:rPr>
            </w:pPr>
            <w:r w:rsidRPr="00EB7A4F">
              <w:rPr>
                <w:rFonts w:ascii="Verdana" w:hAnsi="Verdana" w:cs="Arial"/>
                <w:sz w:val="20"/>
                <w:szCs w:val="20"/>
              </w:rPr>
              <w:t>Punti vendita in Franchising in Italia (</w:t>
            </w:r>
            <w:proofErr w:type="spellStart"/>
            <w:r w:rsidRPr="00EB7A4F">
              <w:rPr>
                <w:rFonts w:ascii="Verdana" w:hAnsi="Verdana" w:cs="Arial"/>
                <w:sz w:val="20"/>
                <w:szCs w:val="20"/>
              </w:rPr>
              <w:t>pvf</w:t>
            </w:r>
            <w:proofErr w:type="spellEnd"/>
            <w:r w:rsidRPr="00EB7A4F">
              <w:rPr>
                <w:rFonts w:ascii="Verdana" w:hAnsi="Verdana" w:cs="Arial"/>
                <w:sz w:val="20"/>
                <w:szCs w:val="20"/>
              </w:rPr>
              <w:t>)</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52.189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51.110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- 1.079</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- 2,1%</w:t>
            </w:r>
          </w:p>
        </w:tc>
      </w:tr>
      <w:tr w:rsidR="00B177F6" w:rsidRPr="00EB7A4F" w:rsidTr="005375A2">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77F6" w:rsidRPr="00EB7A4F" w:rsidRDefault="00B177F6" w:rsidP="0036425A">
            <w:pPr>
              <w:rPr>
                <w:rFonts w:ascii="Verdana" w:hAnsi="Verdana" w:cs="Arial"/>
                <w:sz w:val="20"/>
                <w:szCs w:val="20"/>
              </w:rPr>
            </w:pPr>
            <w:r w:rsidRPr="00EB7A4F">
              <w:rPr>
                <w:rFonts w:ascii="Verdana" w:hAnsi="Verdana" w:cs="Arial"/>
                <w:sz w:val="20"/>
                <w:szCs w:val="20"/>
              </w:rPr>
              <w:t>Punti vendita italiani all'estero in Franchising</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7.611</w:t>
            </w:r>
            <w:r w:rsidRPr="00EB7A4F">
              <w:rPr>
                <w:rFonts w:ascii="Verdana" w:hAnsi="Verdana" w:cs="Arial"/>
                <w:sz w:val="20"/>
                <w:szCs w:val="20"/>
                <w:vertAlign w:val="superscript"/>
              </w:rPr>
              <w:t>3</w:t>
            </w:r>
            <w:r w:rsidRPr="00EB7A4F">
              <w:rPr>
                <w:rStyle w:val="Rimandonotaapidipagina"/>
                <w:rFonts w:ascii="Verdana" w:hAnsi="Verdana" w:cs="Arial"/>
                <w:sz w:val="20"/>
                <w:szCs w:val="20"/>
              </w:rPr>
              <w:footnoteReference w:id="1"/>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7.731</w:t>
            </w:r>
            <w:r w:rsidRPr="00EB7A4F">
              <w:rPr>
                <w:rFonts w:ascii="Verdana" w:hAnsi="Verdana" w:cs="Arial"/>
                <w:sz w:val="20"/>
                <w:szCs w:val="20"/>
                <w:vertAlign w:val="superscript"/>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+ 120</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+ 1,6%</w:t>
            </w:r>
          </w:p>
        </w:tc>
      </w:tr>
      <w:tr w:rsidR="00B177F6" w:rsidRPr="00EB7A4F" w:rsidTr="005375A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7F6" w:rsidRPr="00EB7A4F" w:rsidRDefault="00B177F6" w:rsidP="0036425A">
            <w:pPr>
              <w:rPr>
                <w:rFonts w:ascii="Verdana" w:hAnsi="Verdana" w:cs="Arial"/>
                <w:sz w:val="20"/>
                <w:szCs w:val="20"/>
              </w:rPr>
            </w:pPr>
            <w:r w:rsidRPr="00EB7A4F">
              <w:rPr>
                <w:rFonts w:ascii="Verdana" w:hAnsi="Verdana" w:cs="Arial"/>
                <w:sz w:val="20"/>
                <w:szCs w:val="20"/>
              </w:rPr>
              <w:t>Reti italiane all'estero</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135</w:t>
            </w:r>
            <w:r w:rsidRPr="00EB7A4F">
              <w:rPr>
                <w:rFonts w:ascii="Verdana" w:hAnsi="Verdana" w:cs="Arial"/>
                <w:sz w:val="20"/>
                <w:szCs w:val="20"/>
                <w:vertAlign w:val="superscript"/>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149³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+ 14</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+ 10,4%</w:t>
            </w:r>
          </w:p>
        </w:tc>
      </w:tr>
      <w:tr w:rsidR="00B177F6" w:rsidRPr="00EB7A4F" w:rsidTr="005375A2">
        <w:trPr>
          <w:trHeight w:val="38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77F6" w:rsidRPr="00EB7A4F" w:rsidRDefault="00B177F6" w:rsidP="0036425A">
            <w:pPr>
              <w:rPr>
                <w:rFonts w:ascii="Verdana" w:hAnsi="Verdana" w:cs="Arial"/>
                <w:sz w:val="20"/>
                <w:szCs w:val="20"/>
              </w:rPr>
            </w:pPr>
            <w:r w:rsidRPr="00EB7A4F">
              <w:rPr>
                <w:rFonts w:ascii="Verdana" w:hAnsi="Verdana" w:cs="Arial"/>
                <w:sz w:val="20"/>
                <w:szCs w:val="20"/>
              </w:rPr>
              <w:t>Master di Franchisor stranieri in Italia</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71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+ 5</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+ 7,6%</w:t>
            </w:r>
          </w:p>
        </w:tc>
      </w:tr>
      <w:tr w:rsidR="00B177F6" w:rsidRPr="00EB7A4F" w:rsidTr="005375A2">
        <w:trPr>
          <w:trHeight w:val="48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77F6" w:rsidRPr="00EB7A4F" w:rsidRDefault="00E248FF" w:rsidP="0036425A">
            <w:pPr>
              <w:rPr>
                <w:rFonts w:ascii="Verdana" w:hAnsi="Verdana" w:cs="Arial"/>
                <w:sz w:val="20"/>
                <w:szCs w:val="20"/>
              </w:rPr>
            </w:pPr>
            <w:r>
              <w:rPr>
                <w:rFonts w:ascii="Verdana" w:hAnsi="Verdana" w:cs="Arial"/>
                <w:sz w:val="20"/>
                <w:szCs w:val="20"/>
              </w:rPr>
              <w:t>Reti straniere operanti in I</w:t>
            </w:r>
            <w:r w:rsidR="00B177F6" w:rsidRPr="00EB7A4F">
              <w:rPr>
                <w:rFonts w:ascii="Verdana" w:hAnsi="Verdana" w:cs="Arial"/>
                <w:sz w:val="20"/>
                <w:szCs w:val="20"/>
              </w:rPr>
              <w:t>talia con soli</w:t>
            </w:r>
            <w:r w:rsidR="00B177F6" w:rsidRPr="00EB7A4F">
              <w:rPr>
                <w:rFonts w:ascii="Verdana" w:hAnsi="Verdana" w:cs="Arial"/>
                <w:sz w:val="20"/>
                <w:szCs w:val="20"/>
              </w:rPr>
              <w:br/>
              <w:t>Franchisee ma sede legale in altro paese</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0</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0,0%-</w:t>
            </w:r>
          </w:p>
        </w:tc>
      </w:tr>
      <w:tr w:rsidR="00B177F6" w:rsidRPr="00EB7A4F" w:rsidTr="005375A2">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77F6" w:rsidRPr="00EB7A4F" w:rsidRDefault="00B177F6" w:rsidP="0036425A">
            <w:pPr>
              <w:rPr>
                <w:rFonts w:ascii="Verdana" w:hAnsi="Verdana" w:cs="Arial"/>
                <w:sz w:val="20"/>
                <w:szCs w:val="20"/>
              </w:rPr>
            </w:pPr>
            <w:r w:rsidRPr="00EB7A4F">
              <w:rPr>
                <w:rFonts w:ascii="Verdana" w:hAnsi="Verdana" w:cs="Arial"/>
                <w:sz w:val="20"/>
                <w:szCs w:val="20"/>
              </w:rPr>
              <w:t>Addetti occupati nelle reti  (</w:t>
            </w:r>
            <w:proofErr w:type="spellStart"/>
            <w:r w:rsidRPr="00EB7A4F">
              <w:rPr>
                <w:rFonts w:ascii="Verdana" w:hAnsi="Verdana" w:cs="Arial"/>
                <w:sz w:val="20"/>
                <w:szCs w:val="20"/>
              </w:rPr>
              <w:t>pvf</w:t>
            </w:r>
            <w:proofErr w:type="spellEnd"/>
            <w:r w:rsidRPr="00EB7A4F">
              <w:rPr>
                <w:rFonts w:ascii="Verdana" w:hAnsi="Verdana" w:cs="Arial"/>
                <w:sz w:val="20"/>
                <w:szCs w:val="20"/>
              </w:rPr>
              <w:t>) compreso il Franchisee</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187.374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187.384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+ 10</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0,0%</w:t>
            </w:r>
          </w:p>
        </w:tc>
      </w:tr>
      <w:tr w:rsidR="00B177F6" w:rsidRPr="00EB7A4F" w:rsidTr="005375A2">
        <w:trPr>
          <w:trHeight w:val="61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77F6" w:rsidRPr="00EB7A4F" w:rsidRDefault="00B177F6" w:rsidP="0036425A">
            <w:pPr>
              <w:rPr>
                <w:rFonts w:ascii="Verdana" w:hAnsi="Verdana" w:cs="Arial"/>
                <w:sz w:val="20"/>
                <w:szCs w:val="20"/>
              </w:rPr>
            </w:pPr>
            <w:r w:rsidRPr="00EB7A4F">
              <w:rPr>
                <w:rFonts w:ascii="Verdana" w:hAnsi="Verdana" w:cs="Arial"/>
                <w:sz w:val="20"/>
                <w:szCs w:val="20"/>
              </w:rPr>
              <w:t xml:space="preserve">Dimensione media delle reti in </w:t>
            </w:r>
            <w:proofErr w:type="spellStart"/>
            <w:r w:rsidRPr="00EB7A4F">
              <w:rPr>
                <w:rFonts w:ascii="Verdana" w:hAnsi="Verdana" w:cs="Arial"/>
                <w:sz w:val="20"/>
                <w:szCs w:val="20"/>
              </w:rPr>
              <w:t>italia</w:t>
            </w:r>
            <w:proofErr w:type="spellEnd"/>
            <w:r w:rsidRPr="00EB7A4F">
              <w:rPr>
                <w:rFonts w:ascii="Verdana" w:hAnsi="Verdana" w:cs="Arial"/>
                <w:sz w:val="20"/>
                <w:szCs w:val="20"/>
              </w:rPr>
              <w:br/>
              <w:t>(calcolata solo per i punti vendita Franchising)</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55,6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54,4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- 1,2</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- 2,2%</w:t>
            </w:r>
          </w:p>
        </w:tc>
      </w:tr>
      <w:tr w:rsidR="00B177F6" w:rsidRPr="00EB7A4F" w:rsidTr="005375A2">
        <w:trPr>
          <w:trHeight w:val="69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77F6" w:rsidRPr="00EB7A4F" w:rsidRDefault="00B177F6" w:rsidP="0036425A">
            <w:pPr>
              <w:rPr>
                <w:rFonts w:ascii="Verdana" w:hAnsi="Verdana" w:cs="Arial"/>
                <w:sz w:val="20"/>
                <w:szCs w:val="20"/>
              </w:rPr>
            </w:pPr>
            <w:r w:rsidRPr="00EB7A4F">
              <w:rPr>
                <w:rFonts w:ascii="Verdana" w:hAnsi="Verdana" w:cs="Arial"/>
                <w:sz w:val="20"/>
                <w:szCs w:val="20"/>
              </w:rPr>
              <w:t>Dimensione media delle reti italiane all'estero</w:t>
            </w:r>
            <w:r w:rsidRPr="00EB7A4F">
              <w:rPr>
                <w:rFonts w:ascii="Verdana" w:hAnsi="Verdana" w:cs="Arial"/>
                <w:sz w:val="20"/>
                <w:szCs w:val="20"/>
              </w:rPr>
              <w:br/>
              <w:t>(calcolata solo per i punti vendita Franchising)</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56,4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51,9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- 4,5</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- 8,0%</w:t>
            </w:r>
          </w:p>
        </w:tc>
      </w:tr>
      <w:tr w:rsidR="00B177F6" w:rsidRPr="00EB7A4F" w:rsidTr="005375A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7F6" w:rsidRPr="00EB7A4F" w:rsidRDefault="00B177F6" w:rsidP="0036425A">
            <w:pPr>
              <w:rPr>
                <w:rFonts w:ascii="Verdana" w:hAnsi="Verdana" w:cs="Arial"/>
                <w:sz w:val="20"/>
                <w:szCs w:val="20"/>
              </w:rPr>
            </w:pPr>
            <w:r w:rsidRPr="00EB7A4F">
              <w:rPr>
                <w:rFonts w:ascii="Verdana" w:hAnsi="Verdana" w:cs="Arial"/>
                <w:sz w:val="20"/>
                <w:szCs w:val="20"/>
              </w:rPr>
              <w:t>Media occupati per punto vendita in Franchising</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3,7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+ 0,1</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B177F6" w:rsidRPr="00EB7A4F" w:rsidRDefault="00B177F6" w:rsidP="0036425A">
            <w:pPr>
              <w:jc w:val="center"/>
              <w:rPr>
                <w:rFonts w:ascii="Verdana" w:hAnsi="Verdana" w:cs="Arial"/>
                <w:sz w:val="20"/>
                <w:szCs w:val="20"/>
              </w:rPr>
            </w:pPr>
            <w:r w:rsidRPr="00EB7A4F">
              <w:rPr>
                <w:rFonts w:ascii="Verdana" w:hAnsi="Verdana" w:cs="Arial"/>
                <w:sz w:val="20"/>
                <w:szCs w:val="20"/>
              </w:rPr>
              <w:t>+ 2,8%</w:t>
            </w:r>
          </w:p>
        </w:tc>
      </w:tr>
    </w:tbl>
    <w:p w:rsidR="00B52AAC" w:rsidRPr="0015646E" w:rsidRDefault="00B52AAC" w:rsidP="00B52AAC">
      <w:pPr>
        <w:pStyle w:val="Elencoacolori-Colore11"/>
        <w:spacing w:after="0" w:line="240" w:lineRule="auto"/>
        <w:ind w:left="0"/>
        <w:jc w:val="both"/>
        <w:rPr>
          <w:rFonts w:ascii="Verdana" w:hAnsi="Verdana"/>
          <w:i/>
          <w:sz w:val="18"/>
          <w:szCs w:val="18"/>
        </w:rPr>
      </w:pPr>
    </w:p>
    <w:p w:rsidR="00B52AAC" w:rsidRPr="0015646E" w:rsidRDefault="00B52AAC" w:rsidP="00B52AAC">
      <w:pPr>
        <w:pStyle w:val="Elencoacolori-Colore11"/>
        <w:spacing w:after="0" w:line="240" w:lineRule="auto"/>
        <w:ind w:left="0"/>
        <w:jc w:val="both"/>
        <w:rPr>
          <w:rFonts w:ascii="Verdana" w:hAnsi="Verdana"/>
          <w:sz w:val="18"/>
          <w:szCs w:val="18"/>
        </w:rPr>
      </w:pPr>
      <w:r w:rsidRPr="0015646E">
        <w:rPr>
          <w:rFonts w:ascii="Verdana" w:hAnsi="Verdana"/>
          <w:i/>
          <w:sz w:val="18"/>
          <w:szCs w:val="18"/>
        </w:rPr>
        <w:t>Fonte: Rapporto Assofranchising Italia 2013 –  Strutture, Tendenze e Scenari. A cura di Assofranchising. Realizzato ed elaborato dal Servizio Studi Assofranchising e dall’Osservatorio Permanente sul Franchising.</w:t>
      </w:r>
    </w:p>
    <w:p w:rsidR="00B52AAC" w:rsidRPr="0015646E" w:rsidRDefault="00B52AAC" w:rsidP="00B52AAC">
      <w:pPr>
        <w:pStyle w:val="Elencoacolori-Colore11"/>
        <w:spacing w:line="240" w:lineRule="auto"/>
        <w:ind w:left="0"/>
        <w:rPr>
          <w:rFonts w:ascii="Verdana" w:hAnsi="Verdana"/>
          <w:i/>
          <w:sz w:val="20"/>
          <w:szCs w:val="20"/>
        </w:rPr>
      </w:pPr>
    </w:p>
    <w:p w:rsidR="00B52AAC" w:rsidRPr="0015646E" w:rsidRDefault="00B52AAC" w:rsidP="00EB7A4F">
      <w:pPr>
        <w:spacing w:line="276" w:lineRule="auto"/>
        <w:jc w:val="both"/>
        <w:rPr>
          <w:rFonts w:ascii="Verdana" w:hAnsi="Verdana"/>
          <w:sz w:val="20"/>
          <w:szCs w:val="20"/>
        </w:rPr>
      </w:pPr>
      <w:r w:rsidRPr="0015646E">
        <w:rPr>
          <w:rFonts w:ascii="Verdana" w:hAnsi="Verdana"/>
          <w:sz w:val="20"/>
          <w:szCs w:val="20"/>
        </w:rPr>
        <w:t xml:space="preserve">Il fatturato dichiarato dai Franchisor nella rilevazione dell’anno 2013 è stato di € 23.505.000.000, evidenziando un incremento di 243 milioni di euro nel confronto con l’anno 2012, pari a +1,0%. Tale dato, sebbene modesto, ha la capacità di iniettare fiducia nel panorama nazionale perché conferma la già nota capacità di tenuta delle reti italiane in Franchising rispetto all’attuale situazione di crisi economica. </w:t>
      </w:r>
    </w:p>
    <w:p w:rsidR="00B52AAC" w:rsidRPr="0015646E" w:rsidRDefault="00B52AAC" w:rsidP="00EB7A4F">
      <w:pPr>
        <w:spacing w:line="276" w:lineRule="auto"/>
        <w:jc w:val="both"/>
        <w:rPr>
          <w:rFonts w:ascii="Verdana" w:hAnsi="Verdana"/>
          <w:sz w:val="20"/>
          <w:szCs w:val="20"/>
        </w:rPr>
      </w:pPr>
      <w:r w:rsidRPr="0015646E">
        <w:rPr>
          <w:rFonts w:ascii="Verdana" w:hAnsi="Verdana"/>
          <w:sz w:val="20"/>
          <w:szCs w:val="20"/>
        </w:rPr>
        <w:t xml:space="preserve">Si ribadisce che solamente le agenzie immobiliari hanno comportato una perdita di fatturato di € 119.973.800, di 695 punti vendita in Franchising e 1.823 addetti occupati. A seguito di </w:t>
      </w:r>
      <w:r w:rsidRPr="0015646E">
        <w:rPr>
          <w:rFonts w:ascii="Verdana" w:hAnsi="Verdana"/>
          <w:sz w:val="20"/>
          <w:szCs w:val="20"/>
        </w:rPr>
        <w:lastRenderedPageBreak/>
        <w:t>questi dati si evidenzia come senza tale eccezionale e specifica perdita concentrata in un solo settore il giro d'affari avrebbe avuto un incremento di +1,6%, una ridotta perdita del numero di punti vendita (-0,8%) e un aumento degli addetti occupati (+1,1%).</w:t>
      </w:r>
    </w:p>
    <w:p w:rsidR="00B52AAC" w:rsidRPr="0015646E" w:rsidRDefault="00B52AAC" w:rsidP="00EB7A4F">
      <w:pPr>
        <w:spacing w:line="276" w:lineRule="auto"/>
        <w:jc w:val="both"/>
        <w:rPr>
          <w:rFonts w:ascii="Verdana" w:hAnsi="Verdana"/>
          <w:sz w:val="20"/>
          <w:szCs w:val="20"/>
        </w:rPr>
      </w:pPr>
    </w:p>
    <w:p w:rsidR="00B52AAC" w:rsidRPr="0015646E" w:rsidRDefault="00B52AAC" w:rsidP="00EB7A4F">
      <w:pPr>
        <w:spacing w:line="276" w:lineRule="auto"/>
        <w:jc w:val="both"/>
        <w:rPr>
          <w:rFonts w:ascii="Verdana" w:hAnsi="Verdana"/>
          <w:sz w:val="20"/>
          <w:szCs w:val="20"/>
        </w:rPr>
      </w:pPr>
      <w:r w:rsidRPr="0015646E">
        <w:rPr>
          <w:rFonts w:ascii="Verdana" w:hAnsi="Verdana"/>
          <w:sz w:val="20"/>
          <w:szCs w:val="20"/>
        </w:rPr>
        <w:t xml:space="preserve">Quanto sopra conduce a censire 939 reti in Franchising attive, di cui 834 sono reti italiane, 71 i master di Franchisor stranieri in Italia, 34 le reti straniere operanti in Italia con soli Franchisee ma sede legale in altro paese. </w:t>
      </w:r>
    </w:p>
    <w:p w:rsidR="00B52AAC" w:rsidRPr="0015646E" w:rsidRDefault="00B52AAC" w:rsidP="00EB7A4F">
      <w:pPr>
        <w:spacing w:line="276" w:lineRule="auto"/>
        <w:jc w:val="both"/>
        <w:rPr>
          <w:rFonts w:ascii="Verdana" w:hAnsi="Verdana"/>
          <w:sz w:val="20"/>
          <w:szCs w:val="20"/>
        </w:rPr>
      </w:pPr>
      <w:r w:rsidRPr="0015646E">
        <w:rPr>
          <w:rFonts w:ascii="Verdana" w:hAnsi="Verdana"/>
          <w:sz w:val="20"/>
          <w:szCs w:val="20"/>
        </w:rPr>
        <w:t xml:space="preserve">In controtendenza rispetto ai dati del fatturato e delle insegne operative in Italia è stato il dato sui punti vendita in Franchising in Italia. In particolare, nel 2013 il sistema Franchising ha subito un saldo negativo di 1.079 punti vendita, tra i quali il solo settore delle agenzie immobiliari ha inciso con la perdita di 695 punti vendita. Anche la dimensione media delle reti in Italia si è lievemente ridotta passando da 55,6 negozi nel 2012, a 54,4 negozi nel 2013. </w:t>
      </w:r>
    </w:p>
    <w:p w:rsidR="004C10D8" w:rsidRPr="0015646E" w:rsidRDefault="00B52AAC" w:rsidP="00EB7A4F">
      <w:pPr>
        <w:spacing w:line="276" w:lineRule="auto"/>
        <w:jc w:val="both"/>
        <w:rPr>
          <w:rFonts w:ascii="Verdana" w:hAnsi="Verdana"/>
          <w:sz w:val="20"/>
          <w:szCs w:val="20"/>
        </w:rPr>
      </w:pPr>
      <w:r w:rsidRPr="0015646E">
        <w:rPr>
          <w:rFonts w:ascii="Verdana" w:hAnsi="Verdana"/>
          <w:sz w:val="20"/>
          <w:szCs w:val="20"/>
        </w:rPr>
        <w:t xml:space="preserve">A fronte della chiusura di punti vendita non c’è stato il temuto calo dell’occupazione. In particolare, il sistema Franchising ha assicurato un’occupazione a 187.384 persone. </w:t>
      </w:r>
    </w:p>
    <w:p w:rsidR="00461EFF" w:rsidRPr="0015646E" w:rsidRDefault="00461EFF" w:rsidP="004C10D8">
      <w:pPr>
        <w:spacing w:line="360" w:lineRule="auto"/>
        <w:jc w:val="both"/>
        <w:rPr>
          <w:rFonts w:ascii="Verdana" w:hAnsi="Verdana"/>
          <w:sz w:val="20"/>
          <w:szCs w:val="20"/>
        </w:rPr>
      </w:pPr>
    </w:p>
    <w:tbl>
      <w:tblPr>
        <w:tblStyle w:val="Grigliatabella"/>
        <w:tblW w:w="0" w:type="auto"/>
        <w:jc w:val="center"/>
        <w:tblLayout w:type="fixed"/>
        <w:tblLook w:val="04A0" w:firstRow="1" w:lastRow="0" w:firstColumn="1" w:lastColumn="0" w:noHBand="0" w:noVBand="1"/>
      </w:tblPr>
      <w:tblGrid>
        <w:gridCol w:w="4665"/>
        <w:gridCol w:w="1890"/>
        <w:gridCol w:w="2342"/>
      </w:tblGrid>
      <w:tr w:rsidR="00B705B4" w:rsidRPr="0015646E" w:rsidTr="00B36A0E">
        <w:trPr>
          <w:jc w:val="center"/>
        </w:trPr>
        <w:tc>
          <w:tcPr>
            <w:tcW w:w="8897" w:type="dxa"/>
            <w:gridSpan w:val="3"/>
            <w:shd w:val="clear" w:color="auto" w:fill="DFA312"/>
          </w:tcPr>
          <w:p w:rsidR="005B3729" w:rsidRPr="0015646E" w:rsidRDefault="005B3729" w:rsidP="00B66FE0">
            <w:pPr>
              <w:jc w:val="both"/>
              <w:rPr>
                <w:rFonts w:ascii="Verdana" w:hAnsi="Verdana"/>
              </w:rPr>
            </w:pPr>
          </w:p>
          <w:p w:rsidR="00B705B4" w:rsidRPr="0015646E" w:rsidRDefault="00B705B4" w:rsidP="00B66FE0">
            <w:pPr>
              <w:jc w:val="both"/>
              <w:rPr>
                <w:rFonts w:ascii="Verdana" w:hAnsi="Verdana"/>
                <w:b/>
              </w:rPr>
            </w:pPr>
            <w:r w:rsidRPr="0015646E">
              <w:rPr>
                <w:rFonts w:ascii="Verdana" w:hAnsi="Verdana"/>
                <w:b/>
              </w:rPr>
              <w:t>PUNTI VENDITA IN FRANCHISING PER MACROCATEGORIE</w:t>
            </w:r>
          </w:p>
          <w:p w:rsidR="005B3729" w:rsidRPr="0015646E" w:rsidRDefault="005B3729" w:rsidP="00B66FE0">
            <w:pPr>
              <w:jc w:val="both"/>
              <w:rPr>
                <w:rFonts w:ascii="Verdana" w:hAnsi="Verdana"/>
              </w:rPr>
            </w:pPr>
          </w:p>
        </w:tc>
      </w:tr>
      <w:tr w:rsidR="00B177F6" w:rsidRPr="0015646E" w:rsidTr="00B36A0E">
        <w:trPr>
          <w:jc w:val="center"/>
        </w:trPr>
        <w:tc>
          <w:tcPr>
            <w:tcW w:w="4665" w:type="dxa"/>
            <w:tcBorders>
              <w:right w:val="single" w:sz="4" w:space="0" w:color="auto"/>
            </w:tcBorders>
          </w:tcPr>
          <w:p w:rsidR="00B177F6" w:rsidRPr="0015646E" w:rsidRDefault="00B177F6" w:rsidP="00B66FE0">
            <w:pPr>
              <w:jc w:val="both"/>
              <w:rPr>
                <w:rFonts w:ascii="Verdana" w:hAnsi="Verdana"/>
              </w:rPr>
            </w:pPr>
          </w:p>
        </w:tc>
        <w:tc>
          <w:tcPr>
            <w:tcW w:w="1890" w:type="dxa"/>
            <w:tcBorders>
              <w:left w:val="single" w:sz="4" w:space="0" w:color="auto"/>
              <w:right w:val="single" w:sz="4" w:space="0" w:color="auto"/>
            </w:tcBorders>
            <w:shd w:val="clear" w:color="auto" w:fill="D9D9D9" w:themeFill="background1" w:themeFillShade="D9"/>
          </w:tcPr>
          <w:p w:rsidR="00B177F6" w:rsidRPr="0015646E" w:rsidRDefault="00B177F6" w:rsidP="00B41166">
            <w:pPr>
              <w:ind w:left="282"/>
              <w:jc w:val="center"/>
              <w:rPr>
                <w:rFonts w:ascii="Verdana" w:hAnsi="Verdana"/>
                <w:b/>
              </w:rPr>
            </w:pPr>
            <w:r w:rsidRPr="0015646E">
              <w:rPr>
                <w:rFonts w:ascii="Verdana" w:hAnsi="Verdana"/>
                <w:b/>
              </w:rPr>
              <w:t>2013</w:t>
            </w:r>
          </w:p>
        </w:tc>
        <w:tc>
          <w:tcPr>
            <w:tcW w:w="2342" w:type="dxa"/>
            <w:tcBorders>
              <w:left w:val="single" w:sz="4" w:space="0" w:color="auto"/>
            </w:tcBorders>
            <w:shd w:val="clear" w:color="auto" w:fill="D9D9D9" w:themeFill="background1" w:themeFillShade="D9"/>
          </w:tcPr>
          <w:p w:rsidR="00B177F6" w:rsidRPr="0015646E" w:rsidRDefault="00B177F6" w:rsidP="00B41166">
            <w:pPr>
              <w:jc w:val="center"/>
              <w:rPr>
                <w:rFonts w:ascii="Verdana" w:hAnsi="Verdana"/>
                <w:b/>
              </w:rPr>
            </w:pPr>
            <w:r w:rsidRPr="0015646E">
              <w:rPr>
                <w:rFonts w:ascii="Verdana" w:hAnsi="Verdana"/>
                <w:b/>
              </w:rPr>
              <w:t>2012</w:t>
            </w:r>
          </w:p>
        </w:tc>
      </w:tr>
      <w:tr w:rsidR="00B177F6" w:rsidRPr="0015646E" w:rsidTr="005375A2">
        <w:trPr>
          <w:jc w:val="center"/>
        </w:trPr>
        <w:tc>
          <w:tcPr>
            <w:tcW w:w="4665" w:type="dxa"/>
            <w:tcBorders>
              <w:right w:val="single" w:sz="4" w:space="0" w:color="auto"/>
            </w:tcBorders>
          </w:tcPr>
          <w:p w:rsidR="00B177F6" w:rsidRPr="0015646E" w:rsidRDefault="00B177F6" w:rsidP="00B66FE0">
            <w:pPr>
              <w:jc w:val="both"/>
              <w:rPr>
                <w:rFonts w:ascii="Verdana" w:hAnsi="Verdana"/>
              </w:rPr>
            </w:pPr>
          </w:p>
        </w:tc>
        <w:tc>
          <w:tcPr>
            <w:tcW w:w="1890" w:type="dxa"/>
            <w:tcBorders>
              <w:left w:val="single" w:sz="4" w:space="0" w:color="auto"/>
              <w:right w:val="single" w:sz="4" w:space="0" w:color="auto"/>
            </w:tcBorders>
          </w:tcPr>
          <w:p w:rsidR="00B177F6" w:rsidRPr="0015646E" w:rsidRDefault="00B177F6" w:rsidP="00B66FE0">
            <w:pPr>
              <w:jc w:val="both"/>
              <w:rPr>
                <w:rFonts w:ascii="Verdana" w:hAnsi="Verdana"/>
              </w:rPr>
            </w:pPr>
          </w:p>
        </w:tc>
        <w:tc>
          <w:tcPr>
            <w:tcW w:w="2342" w:type="dxa"/>
            <w:tcBorders>
              <w:left w:val="single" w:sz="4" w:space="0" w:color="auto"/>
            </w:tcBorders>
          </w:tcPr>
          <w:p w:rsidR="00B177F6" w:rsidRPr="0015646E" w:rsidRDefault="00B177F6" w:rsidP="00B66FE0">
            <w:pPr>
              <w:jc w:val="both"/>
              <w:rPr>
                <w:rFonts w:ascii="Verdana" w:hAnsi="Verdana"/>
              </w:rPr>
            </w:pPr>
          </w:p>
        </w:tc>
      </w:tr>
      <w:tr w:rsidR="00B177F6" w:rsidRPr="0015646E" w:rsidTr="005375A2">
        <w:trPr>
          <w:jc w:val="center"/>
        </w:trPr>
        <w:tc>
          <w:tcPr>
            <w:tcW w:w="4665" w:type="dxa"/>
            <w:tcBorders>
              <w:right w:val="single" w:sz="4" w:space="0" w:color="auto"/>
            </w:tcBorders>
          </w:tcPr>
          <w:p w:rsidR="00B177F6" w:rsidRPr="0015646E" w:rsidRDefault="00B177F6" w:rsidP="00B66FE0">
            <w:pPr>
              <w:jc w:val="both"/>
              <w:rPr>
                <w:rFonts w:ascii="Verdana" w:hAnsi="Verdana"/>
              </w:rPr>
            </w:pPr>
            <w:r w:rsidRPr="0015646E">
              <w:rPr>
                <w:rFonts w:ascii="Verdana" w:hAnsi="Verdana"/>
              </w:rPr>
              <w:t>Articoli per la persona</w:t>
            </w:r>
          </w:p>
        </w:tc>
        <w:tc>
          <w:tcPr>
            <w:tcW w:w="1890" w:type="dxa"/>
            <w:tcBorders>
              <w:left w:val="single" w:sz="4" w:space="0" w:color="auto"/>
              <w:right w:val="single" w:sz="4" w:space="0" w:color="auto"/>
            </w:tcBorders>
          </w:tcPr>
          <w:p w:rsidR="00B177F6" w:rsidRPr="0015646E" w:rsidRDefault="00B177F6" w:rsidP="00B41166">
            <w:pPr>
              <w:ind w:left="282"/>
              <w:jc w:val="right"/>
              <w:rPr>
                <w:rFonts w:ascii="Verdana" w:hAnsi="Verdana"/>
              </w:rPr>
            </w:pPr>
            <w:r w:rsidRPr="0015646E">
              <w:rPr>
                <w:rFonts w:ascii="Verdana" w:hAnsi="Verdana"/>
              </w:rPr>
              <w:t>12.585</w:t>
            </w:r>
          </w:p>
        </w:tc>
        <w:tc>
          <w:tcPr>
            <w:tcW w:w="2342" w:type="dxa"/>
            <w:tcBorders>
              <w:left w:val="single" w:sz="4" w:space="0" w:color="auto"/>
            </w:tcBorders>
          </w:tcPr>
          <w:p w:rsidR="00B177F6" w:rsidRPr="0015646E" w:rsidRDefault="00B177F6" w:rsidP="00B41166">
            <w:pPr>
              <w:ind w:left="519"/>
              <w:jc w:val="right"/>
              <w:rPr>
                <w:rFonts w:ascii="Verdana" w:hAnsi="Verdana"/>
              </w:rPr>
            </w:pPr>
            <w:r w:rsidRPr="0015646E">
              <w:rPr>
                <w:rFonts w:ascii="Verdana" w:hAnsi="Verdana"/>
              </w:rPr>
              <w:t>12.253</w:t>
            </w:r>
          </w:p>
        </w:tc>
      </w:tr>
      <w:tr w:rsidR="00B177F6" w:rsidRPr="0015646E" w:rsidTr="005375A2">
        <w:trPr>
          <w:jc w:val="center"/>
        </w:trPr>
        <w:tc>
          <w:tcPr>
            <w:tcW w:w="4665" w:type="dxa"/>
            <w:tcBorders>
              <w:right w:val="single" w:sz="4" w:space="0" w:color="auto"/>
            </w:tcBorders>
          </w:tcPr>
          <w:p w:rsidR="00B177F6" w:rsidRPr="0015646E" w:rsidRDefault="00B177F6" w:rsidP="00B66FE0">
            <w:pPr>
              <w:jc w:val="both"/>
              <w:rPr>
                <w:rFonts w:ascii="Verdana" w:hAnsi="Verdana"/>
              </w:rPr>
            </w:pPr>
            <w:r w:rsidRPr="0015646E">
              <w:rPr>
                <w:rFonts w:ascii="Verdana" w:hAnsi="Verdana"/>
              </w:rPr>
              <w:t>Articoli per la casa</w:t>
            </w:r>
          </w:p>
        </w:tc>
        <w:tc>
          <w:tcPr>
            <w:tcW w:w="1890" w:type="dxa"/>
            <w:tcBorders>
              <w:left w:val="single" w:sz="4" w:space="0" w:color="auto"/>
              <w:right w:val="single" w:sz="4" w:space="0" w:color="auto"/>
            </w:tcBorders>
          </w:tcPr>
          <w:p w:rsidR="00B177F6" w:rsidRPr="0015646E" w:rsidRDefault="00B177F6" w:rsidP="00B41166">
            <w:pPr>
              <w:ind w:left="282"/>
              <w:jc w:val="right"/>
              <w:rPr>
                <w:rFonts w:ascii="Verdana" w:hAnsi="Verdana"/>
              </w:rPr>
            </w:pPr>
            <w:r w:rsidRPr="0015646E">
              <w:rPr>
                <w:rFonts w:ascii="Verdana" w:hAnsi="Verdana"/>
              </w:rPr>
              <w:t>1.440</w:t>
            </w:r>
          </w:p>
        </w:tc>
        <w:tc>
          <w:tcPr>
            <w:tcW w:w="2342" w:type="dxa"/>
            <w:tcBorders>
              <w:left w:val="single" w:sz="4" w:space="0" w:color="auto"/>
            </w:tcBorders>
          </w:tcPr>
          <w:p w:rsidR="00B177F6" w:rsidRPr="0015646E" w:rsidRDefault="00B177F6" w:rsidP="00B41166">
            <w:pPr>
              <w:ind w:left="1224"/>
              <w:jc w:val="right"/>
              <w:rPr>
                <w:rFonts w:ascii="Verdana" w:hAnsi="Verdana"/>
              </w:rPr>
            </w:pPr>
            <w:r w:rsidRPr="0015646E">
              <w:rPr>
                <w:rFonts w:ascii="Verdana" w:hAnsi="Verdana"/>
              </w:rPr>
              <w:t>1.766</w:t>
            </w:r>
          </w:p>
        </w:tc>
      </w:tr>
      <w:tr w:rsidR="00B177F6" w:rsidRPr="0015646E" w:rsidTr="005375A2">
        <w:trPr>
          <w:jc w:val="center"/>
        </w:trPr>
        <w:tc>
          <w:tcPr>
            <w:tcW w:w="4665" w:type="dxa"/>
            <w:tcBorders>
              <w:right w:val="single" w:sz="4" w:space="0" w:color="auto"/>
            </w:tcBorders>
          </w:tcPr>
          <w:p w:rsidR="00B177F6" w:rsidRPr="0015646E" w:rsidRDefault="00B177F6" w:rsidP="00B66FE0">
            <w:pPr>
              <w:jc w:val="both"/>
              <w:rPr>
                <w:rFonts w:ascii="Verdana" w:hAnsi="Verdana"/>
              </w:rPr>
            </w:pPr>
            <w:r w:rsidRPr="0015646E">
              <w:rPr>
                <w:rFonts w:ascii="Verdana" w:hAnsi="Verdana"/>
              </w:rPr>
              <w:t>Commercio non specializzato</w:t>
            </w:r>
          </w:p>
        </w:tc>
        <w:tc>
          <w:tcPr>
            <w:tcW w:w="1890" w:type="dxa"/>
            <w:tcBorders>
              <w:left w:val="single" w:sz="4" w:space="0" w:color="auto"/>
              <w:right w:val="single" w:sz="4" w:space="0" w:color="auto"/>
            </w:tcBorders>
          </w:tcPr>
          <w:p w:rsidR="00B177F6" w:rsidRPr="0015646E" w:rsidRDefault="00B177F6" w:rsidP="00B41166">
            <w:pPr>
              <w:ind w:left="282"/>
              <w:jc w:val="right"/>
              <w:rPr>
                <w:rFonts w:ascii="Verdana" w:hAnsi="Verdana"/>
              </w:rPr>
            </w:pPr>
            <w:r w:rsidRPr="0015646E">
              <w:rPr>
                <w:rFonts w:ascii="Verdana" w:hAnsi="Verdana"/>
              </w:rPr>
              <w:t>4.923</w:t>
            </w:r>
          </w:p>
        </w:tc>
        <w:tc>
          <w:tcPr>
            <w:tcW w:w="2342" w:type="dxa"/>
            <w:tcBorders>
              <w:left w:val="single" w:sz="4" w:space="0" w:color="auto"/>
            </w:tcBorders>
          </w:tcPr>
          <w:p w:rsidR="00B177F6" w:rsidRPr="0015646E" w:rsidRDefault="00B177F6" w:rsidP="00B41166">
            <w:pPr>
              <w:ind w:left="1224"/>
              <w:jc w:val="right"/>
              <w:rPr>
                <w:rFonts w:ascii="Verdana" w:hAnsi="Verdana"/>
              </w:rPr>
            </w:pPr>
            <w:r w:rsidRPr="0015646E">
              <w:rPr>
                <w:rFonts w:ascii="Verdana" w:hAnsi="Verdana"/>
              </w:rPr>
              <w:t>4.526</w:t>
            </w:r>
          </w:p>
        </w:tc>
      </w:tr>
      <w:tr w:rsidR="00B177F6" w:rsidRPr="0015646E" w:rsidTr="005375A2">
        <w:trPr>
          <w:jc w:val="center"/>
        </w:trPr>
        <w:tc>
          <w:tcPr>
            <w:tcW w:w="4665" w:type="dxa"/>
            <w:tcBorders>
              <w:right w:val="single" w:sz="4" w:space="0" w:color="auto"/>
            </w:tcBorders>
          </w:tcPr>
          <w:p w:rsidR="00B177F6" w:rsidRPr="0015646E" w:rsidRDefault="00B177F6" w:rsidP="00B66FE0">
            <w:pPr>
              <w:jc w:val="both"/>
              <w:rPr>
                <w:rFonts w:ascii="Verdana" w:hAnsi="Verdana"/>
              </w:rPr>
            </w:pPr>
            <w:r w:rsidRPr="0015646E">
              <w:rPr>
                <w:rFonts w:ascii="Verdana" w:hAnsi="Verdana"/>
              </w:rPr>
              <w:t>Commercio alimentare specializzato</w:t>
            </w:r>
          </w:p>
        </w:tc>
        <w:tc>
          <w:tcPr>
            <w:tcW w:w="1890" w:type="dxa"/>
            <w:tcBorders>
              <w:left w:val="single" w:sz="4" w:space="0" w:color="auto"/>
              <w:right w:val="single" w:sz="4" w:space="0" w:color="auto"/>
            </w:tcBorders>
          </w:tcPr>
          <w:p w:rsidR="00B177F6" w:rsidRPr="0015646E" w:rsidRDefault="00B177F6" w:rsidP="00B41166">
            <w:pPr>
              <w:ind w:left="282"/>
              <w:jc w:val="right"/>
              <w:rPr>
                <w:rFonts w:ascii="Verdana" w:hAnsi="Verdana"/>
              </w:rPr>
            </w:pPr>
            <w:r w:rsidRPr="0015646E">
              <w:rPr>
                <w:rFonts w:ascii="Verdana" w:hAnsi="Verdana"/>
              </w:rPr>
              <w:t>1.434</w:t>
            </w:r>
          </w:p>
        </w:tc>
        <w:tc>
          <w:tcPr>
            <w:tcW w:w="2342" w:type="dxa"/>
            <w:tcBorders>
              <w:left w:val="single" w:sz="4" w:space="0" w:color="auto"/>
            </w:tcBorders>
          </w:tcPr>
          <w:p w:rsidR="00B177F6" w:rsidRPr="0015646E" w:rsidRDefault="00B177F6" w:rsidP="00B41166">
            <w:pPr>
              <w:ind w:left="1224"/>
              <w:jc w:val="right"/>
              <w:rPr>
                <w:rFonts w:ascii="Verdana" w:hAnsi="Verdana"/>
              </w:rPr>
            </w:pPr>
            <w:r w:rsidRPr="0015646E">
              <w:rPr>
                <w:rFonts w:ascii="Verdana" w:hAnsi="Verdana"/>
              </w:rPr>
              <w:t>1.562</w:t>
            </w:r>
          </w:p>
        </w:tc>
      </w:tr>
      <w:tr w:rsidR="00B177F6" w:rsidRPr="0015646E" w:rsidTr="005375A2">
        <w:trPr>
          <w:jc w:val="center"/>
        </w:trPr>
        <w:tc>
          <w:tcPr>
            <w:tcW w:w="4665" w:type="dxa"/>
            <w:tcBorders>
              <w:right w:val="single" w:sz="4" w:space="0" w:color="auto"/>
            </w:tcBorders>
          </w:tcPr>
          <w:p w:rsidR="00B177F6" w:rsidRPr="0015646E" w:rsidRDefault="00B177F6" w:rsidP="00B66FE0">
            <w:pPr>
              <w:jc w:val="both"/>
              <w:rPr>
                <w:rFonts w:ascii="Verdana" w:hAnsi="Verdana"/>
              </w:rPr>
            </w:pPr>
            <w:r w:rsidRPr="0015646E">
              <w:rPr>
                <w:rFonts w:ascii="Verdana" w:hAnsi="Verdana"/>
              </w:rPr>
              <w:t>Altro commercio specializzato</w:t>
            </w:r>
          </w:p>
        </w:tc>
        <w:tc>
          <w:tcPr>
            <w:tcW w:w="1890" w:type="dxa"/>
            <w:tcBorders>
              <w:left w:val="single" w:sz="4" w:space="0" w:color="auto"/>
              <w:right w:val="single" w:sz="4" w:space="0" w:color="auto"/>
            </w:tcBorders>
          </w:tcPr>
          <w:p w:rsidR="00B177F6" w:rsidRPr="0015646E" w:rsidRDefault="00B177F6" w:rsidP="00B41166">
            <w:pPr>
              <w:ind w:left="282"/>
              <w:jc w:val="right"/>
              <w:rPr>
                <w:rFonts w:ascii="Verdana" w:hAnsi="Verdana"/>
              </w:rPr>
            </w:pPr>
            <w:r w:rsidRPr="0015646E">
              <w:rPr>
                <w:rFonts w:ascii="Verdana" w:hAnsi="Verdana"/>
              </w:rPr>
              <w:t>6.232</w:t>
            </w:r>
          </w:p>
        </w:tc>
        <w:tc>
          <w:tcPr>
            <w:tcW w:w="2342" w:type="dxa"/>
            <w:tcBorders>
              <w:left w:val="single" w:sz="4" w:space="0" w:color="auto"/>
            </w:tcBorders>
          </w:tcPr>
          <w:p w:rsidR="00B177F6" w:rsidRPr="0015646E" w:rsidRDefault="00B177F6" w:rsidP="00B41166">
            <w:pPr>
              <w:ind w:left="1224"/>
              <w:jc w:val="right"/>
              <w:rPr>
                <w:rFonts w:ascii="Verdana" w:hAnsi="Verdana"/>
              </w:rPr>
            </w:pPr>
            <w:r w:rsidRPr="0015646E">
              <w:rPr>
                <w:rFonts w:ascii="Verdana" w:hAnsi="Verdana"/>
              </w:rPr>
              <w:t>6.271</w:t>
            </w:r>
          </w:p>
        </w:tc>
      </w:tr>
      <w:tr w:rsidR="00B177F6" w:rsidRPr="0015646E" w:rsidTr="005375A2">
        <w:trPr>
          <w:jc w:val="center"/>
        </w:trPr>
        <w:tc>
          <w:tcPr>
            <w:tcW w:w="4665" w:type="dxa"/>
            <w:tcBorders>
              <w:right w:val="single" w:sz="4" w:space="0" w:color="auto"/>
            </w:tcBorders>
          </w:tcPr>
          <w:p w:rsidR="00B177F6" w:rsidRPr="0015646E" w:rsidRDefault="00B177F6" w:rsidP="00B66FE0">
            <w:pPr>
              <w:jc w:val="both"/>
              <w:rPr>
                <w:rFonts w:ascii="Verdana" w:hAnsi="Verdana"/>
              </w:rPr>
            </w:pPr>
            <w:r w:rsidRPr="0015646E">
              <w:rPr>
                <w:rFonts w:ascii="Verdana" w:hAnsi="Verdana"/>
              </w:rPr>
              <w:t>Servizi</w:t>
            </w:r>
          </w:p>
        </w:tc>
        <w:tc>
          <w:tcPr>
            <w:tcW w:w="1890" w:type="dxa"/>
            <w:tcBorders>
              <w:left w:val="single" w:sz="4" w:space="0" w:color="auto"/>
              <w:right w:val="single" w:sz="4" w:space="0" w:color="auto"/>
            </w:tcBorders>
          </w:tcPr>
          <w:p w:rsidR="00B177F6" w:rsidRPr="0015646E" w:rsidRDefault="00B177F6" w:rsidP="00B41166">
            <w:pPr>
              <w:ind w:left="282"/>
              <w:jc w:val="right"/>
              <w:rPr>
                <w:rFonts w:ascii="Verdana" w:hAnsi="Verdana"/>
              </w:rPr>
            </w:pPr>
            <w:r w:rsidRPr="0015646E">
              <w:rPr>
                <w:rFonts w:ascii="Verdana" w:hAnsi="Verdana"/>
              </w:rPr>
              <w:t>24.349</w:t>
            </w:r>
          </w:p>
        </w:tc>
        <w:tc>
          <w:tcPr>
            <w:tcW w:w="2342" w:type="dxa"/>
            <w:tcBorders>
              <w:left w:val="single" w:sz="4" w:space="0" w:color="auto"/>
            </w:tcBorders>
          </w:tcPr>
          <w:p w:rsidR="00B177F6" w:rsidRPr="0015646E" w:rsidRDefault="00B177F6" w:rsidP="00B41166">
            <w:pPr>
              <w:ind w:left="519"/>
              <w:jc w:val="right"/>
              <w:rPr>
                <w:rFonts w:ascii="Verdana" w:hAnsi="Verdana"/>
              </w:rPr>
            </w:pPr>
            <w:r w:rsidRPr="0015646E">
              <w:rPr>
                <w:rFonts w:ascii="Verdana" w:hAnsi="Verdana"/>
              </w:rPr>
              <w:t>25.686</w:t>
            </w:r>
          </w:p>
        </w:tc>
      </w:tr>
    </w:tbl>
    <w:p w:rsidR="00D36C53" w:rsidRPr="0015646E" w:rsidRDefault="00D36C53" w:rsidP="00B52AAC">
      <w:pPr>
        <w:pStyle w:val="Titolo2"/>
        <w:rPr>
          <w:rFonts w:ascii="Verdana" w:hAnsi="Verdana"/>
          <w:sz w:val="20"/>
        </w:rPr>
      </w:pPr>
      <w:bookmarkStart w:id="1" w:name="_Toc389745458"/>
    </w:p>
    <w:p w:rsidR="00EB7A4F" w:rsidRDefault="00EB7A4F" w:rsidP="00B52AAC">
      <w:pPr>
        <w:pStyle w:val="Titolo2"/>
        <w:rPr>
          <w:rFonts w:ascii="Verdana" w:hAnsi="Verdana"/>
          <w:b/>
          <w:i w:val="0"/>
          <w:sz w:val="20"/>
        </w:rPr>
      </w:pPr>
    </w:p>
    <w:p w:rsidR="00B52AAC" w:rsidRPr="0015646E" w:rsidRDefault="00B52AAC" w:rsidP="00EB7A4F">
      <w:pPr>
        <w:pStyle w:val="Titolo2"/>
        <w:spacing w:line="276" w:lineRule="auto"/>
        <w:rPr>
          <w:rFonts w:ascii="Verdana" w:hAnsi="Verdana"/>
          <w:b/>
          <w:i w:val="0"/>
          <w:color w:val="00467E"/>
          <w:sz w:val="20"/>
        </w:rPr>
      </w:pPr>
      <w:r w:rsidRPr="0015646E">
        <w:rPr>
          <w:rFonts w:ascii="Verdana" w:hAnsi="Verdana"/>
          <w:b/>
          <w:i w:val="0"/>
          <w:sz w:val="20"/>
        </w:rPr>
        <w:t>2.2 Considerazioni sul quinquennio 2009-2013</w:t>
      </w:r>
      <w:bookmarkEnd w:id="1"/>
    </w:p>
    <w:p w:rsidR="00B52AAC" w:rsidRPr="0015646E" w:rsidRDefault="00B52AAC" w:rsidP="00EB7A4F">
      <w:pPr>
        <w:spacing w:line="276" w:lineRule="auto"/>
        <w:jc w:val="both"/>
        <w:rPr>
          <w:rFonts w:ascii="Verdana" w:hAnsi="Verdana"/>
          <w:sz w:val="20"/>
          <w:szCs w:val="20"/>
        </w:rPr>
      </w:pPr>
    </w:p>
    <w:p w:rsidR="00B52AAC" w:rsidRPr="0015646E" w:rsidRDefault="00B52AAC" w:rsidP="00EB7A4F">
      <w:pPr>
        <w:spacing w:line="276" w:lineRule="auto"/>
        <w:jc w:val="both"/>
        <w:rPr>
          <w:rFonts w:ascii="Verdana" w:hAnsi="Verdana"/>
          <w:sz w:val="20"/>
          <w:szCs w:val="20"/>
        </w:rPr>
      </w:pPr>
      <w:r w:rsidRPr="0015646E">
        <w:rPr>
          <w:rFonts w:ascii="Verdana" w:hAnsi="Verdana"/>
          <w:sz w:val="20"/>
          <w:szCs w:val="20"/>
        </w:rPr>
        <w:t>La tabella di cui sotto sottolinea il trend del fenomeno Franchising in Italia negli ultimi 5 anni, dal punto di vista del fatturato, delle reti attive, dei punti vendita e del flusso occupazionale generato.</w:t>
      </w:r>
    </w:p>
    <w:p w:rsidR="00B52AAC" w:rsidRPr="0015646E" w:rsidRDefault="00B52AAC" w:rsidP="00EB7A4F">
      <w:pPr>
        <w:spacing w:line="276" w:lineRule="auto"/>
        <w:jc w:val="both"/>
        <w:rPr>
          <w:rFonts w:ascii="Verdana" w:hAnsi="Verdana"/>
          <w:sz w:val="20"/>
          <w:szCs w:val="20"/>
        </w:rPr>
      </w:pPr>
      <w:r w:rsidRPr="0015646E">
        <w:rPr>
          <w:rFonts w:ascii="Verdana" w:hAnsi="Verdana"/>
          <w:sz w:val="20"/>
          <w:szCs w:val="20"/>
        </w:rPr>
        <w:t xml:space="preserve">Ad eccezione dei punti vendita presenti in Italia, si evince un </w:t>
      </w:r>
      <w:r w:rsidRPr="0015646E">
        <w:rPr>
          <w:rFonts w:ascii="Verdana" w:hAnsi="Verdana"/>
          <w:i/>
          <w:sz w:val="20"/>
          <w:szCs w:val="20"/>
        </w:rPr>
        <w:t>trend</w:t>
      </w:r>
      <w:r w:rsidRPr="0015646E">
        <w:rPr>
          <w:rFonts w:ascii="Verdana" w:hAnsi="Verdana"/>
          <w:sz w:val="20"/>
          <w:szCs w:val="20"/>
        </w:rPr>
        <w:t xml:space="preserve"> positivo dei valori di cui sopra a testimonianza del ruolo certamente considerevole che il Franchising riveste quale modalità di fare impresa nell’attuale contesto economico, grazie alla possibilità di ridurre il rischio d’impresa beneficiando della conoscenza che il consumatore ha già di un determinato marchio. </w:t>
      </w:r>
    </w:p>
    <w:p w:rsidR="00B52AAC" w:rsidRPr="0015646E" w:rsidRDefault="00B52AAC" w:rsidP="00EB7A4F">
      <w:pPr>
        <w:spacing w:line="276" w:lineRule="auto"/>
        <w:jc w:val="both"/>
        <w:rPr>
          <w:rFonts w:ascii="Verdana" w:hAnsi="Verdana"/>
          <w:sz w:val="20"/>
          <w:szCs w:val="20"/>
        </w:rPr>
      </w:pPr>
      <w:r w:rsidRPr="0015646E">
        <w:rPr>
          <w:rFonts w:ascii="Verdana" w:hAnsi="Verdana"/>
          <w:sz w:val="20"/>
          <w:szCs w:val="20"/>
        </w:rPr>
        <w:t>E’ bene poi ricordare di nuovo come solamente le agenzie immobiliari hanno comportato una perdita di fatturato di 119.973.800 €, di 695 punti vendita in franchising e 1.823 addetti occupati. A seguito di questi dati si evidenzia come senza tale eccezionale e specifica perdita concentrata in un solo settore il trend del franchising italiano risulta con un incremento del giro d'affari pari a +6,0%, dei punti vendita in franchising (+0,9%), degli addetti occupati (+5,6%).</w:t>
      </w:r>
    </w:p>
    <w:p w:rsidR="00EB7A4F" w:rsidRDefault="00EB7A4F">
      <w:pPr>
        <w:spacing w:after="200" w:line="276" w:lineRule="auto"/>
        <w:rPr>
          <w:rFonts w:ascii="Verdana" w:hAnsi="Verdana"/>
          <w:sz w:val="20"/>
          <w:szCs w:val="20"/>
        </w:rPr>
      </w:pPr>
      <w:r>
        <w:rPr>
          <w:rFonts w:ascii="Verdana" w:hAnsi="Verdana"/>
          <w:sz w:val="20"/>
          <w:szCs w:val="20"/>
        </w:rPr>
        <w:br w:type="page"/>
      </w:r>
    </w:p>
    <w:p w:rsidR="0015646E" w:rsidRPr="0015646E" w:rsidRDefault="0015646E" w:rsidP="00EB7A4F">
      <w:pPr>
        <w:spacing w:line="276" w:lineRule="auto"/>
        <w:jc w:val="both"/>
        <w:rPr>
          <w:rFonts w:ascii="Verdana" w:hAnsi="Verdana"/>
          <w:sz w:val="20"/>
          <w:szCs w:val="20"/>
        </w:rPr>
      </w:pPr>
    </w:p>
    <w:p w:rsidR="00B52AAC" w:rsidRPr="0015646E" w:rsidRDefault="00B52AAC" w:rsidP="00D1015F">
      <w:pPr>
        <w:pStyle w:val="Didascalia"/>
        <w:keepNext/>
        <w:jc w:val="left"/>
        <w:rPr>
          <w:rFonts w:ascii="Verdana" w:hAnsi="Verdana"/>
          <w:b/>
          <w:i w:val="0"/>
          <w:sz w:val="20"/>
        </w:rPr>
      </w:pPr>
      <w:r w:rsidRPr="0015646E">
        <w:rPr>
          <w:rFonts w:ascii="Verdana" w:hAnsi="Verdana"/>
          <w:b/>
          <w:i w:val="0"/>
          <w:sz w:val="20"/>
        </w:rPr>
        <w:t xml:space="preserve">Tabella 4 - Principali indicatori: volume complessivo di crescita 2009 - 2013 </w:t>
      </w:r>
    </w:p>
    <w:p w:rsidR="005375A2" w:rsidRPr="0015646E" w:rsidRDefault="005375A2" w:rsidP="005375A2">
      <w:pPr>
        <w:rPr>
          <w:rFonts w:ascii="Verdana" w:hAnsi="Verdana"/>
          <w:sz w:val="20"/>
          <w:szCs w:val="20"/>
          <w:lang w:eastAsia="it-IT"/>
        </w:rPr>
      </w:pPr>
    </w:p>
    <w:tbl>
      <w:tblPr>
        <w:tblW w:w="5000" w:type="pct"/>
        <w:tblCellMar>
          <w:left w:w="70" w:type="dxa"/>
          <w:right w:w="70" w:type="dxa"/>
        </w:tblCellMar>
        <w:tblLook w:val="04A0" w:firstRow="1" w:lastRow="0" w:firstColumn="1" w:lastColumn="0" w:noHBand="0" w:noVBand="1"/>
      </w:tblPr>
      <w:tblGrid>
        <w:gridCol w:w="6377"/>
        <w:gridCol w:w="3401"/>
      </w:tblGrid>
      <w:tr w:rsidR="00B52AAC" w:rsidRPr="0015646E" w:rsidTr="00B36A0E">
        <w:trPr>
          <w:trHeight w:val="300"/>
        </w:trPr>
        <w:tc>
          <w:tcPr>
            <w:tcW w:w="3261" w:type="pct"/>
            <w:tcBorders>
              <w:top w:val="single" w:sz="4" w:space="0" w:color="auto"/>
              <w:left w:val="single" w:sz="8" w:space="0" w:color="auto"/>
              <w:bottom w:val="single" w:sz="4" w:space="0" w:color="auto"/>
              <w:right w:val="single" w:sz="4" w:space="0" w:color="auto"/>
            </w:tcBorders>
            <w:shd w:val="clear" w:color="auto" w:fill="DFA312"/>
            <w:noWrap/>
            <w:vAlign w:val="bottom"/>
            <w:hideMark/>
          </w:tcPr>
          <w:p w:rsidR="00B52AAC" w:rsidRPr="0015646E" w:rsidRDefault="00B52AAC" w:rsidP="0036425A">
            <w:pPr>
              <w:jc w:val="center"/>
              <w:rPr>
                <w:rFonts w:ascii="Verdana" w:hAnsi="Verdana" w:cs="Arial"/>
                <w:b/>
                <w:sz w:val="20"/>
                <w:szCs w:val="20"/>
              </w:rPr>
            </w:pPr>
            <w:r w:rsidRPr="0015646E">
              <w:rPr>
                <w:rFonts w:ascii="Verdana" w:hAnsi="Verdana" w:cs="Arial"/>
                <w:b/>
                <w:sz w:val="20"/>
                <w:szCs w:val="20"/>
              </w:rPr>
              <w:t>INDICATORI</w:t>
            </w:r>
          </w:p>
        </w:tc>
        <w:tc>
          <w:tcPr>
            <w:tcW w:w="1739" w:type="pct"/>
            <w:tcBorders>
              <w:top w:val="single" w:sz="4" w:space="0" w:color="auto"/>
              <w:left w:val="nil"/>
              <w:bottom w:val="single" w:sz="4" w:space="0" w:color="auto"/>
              <w:right w:val="single" w:sz="4" w:space="0" w:color="auto"/>
            </w:tcBorders>
            <w:shd w:val="clear" w:color="auto" w:fill="DFA312"/>
            <w:noWrap/>
            <w:vAlign w:val="bottom"/>
            <w:hideMark/>
          </w:tcPr>
          <w:p w:rsidR="00B52AAC" w:rsidRPr="0015646E" w:rsidRDefault="00B52AAC" w:rsidP="0036425A">
            <w:pPr>
              <w:jc w:val="center"/>
              <w:rPr>
                <w:rFonts w:ascii="Verdana" w:hAnsi="Verdana" w:cs="Arial"/>
                <w:b/>
                <w:sz w:val="20"/>
                <w:szCs w:val="20"/>
              </w:rPr>
            </w:pPr>
            <w:r w:rsidRPr="0015646E">
              <w:rPr>
                <w:rFonts w:ascii="Verdana" w:hAnsi="Verdana" w:cs="Arial"/>
                <w:b/>
                <w:sz w:val="20"/>
                <w:szCs w:val="20"/>
              </w:rPr>
              <w:t>2013 vs. 2009</w:t>
            </w:r>
          </w:p>
        </w:tc>
      </w:tr>
      <w:tr w:rsidR="00B52AAC" w:rsidRPr="0015646E" w:rsidTr="0036425A">
        <w:trPr>
          <w:trHeight w:val="300"/>
        </w:trPr>
        <w:tc>
          <w:tcPr>
            <w:tcW w:w="3261" w:type="pct"/>
            <w:tcBorders>
              <w:top w:val="nil"/>
              <w:left w:val="single" w:sz="8" w:space="0" w:color="auto"/>
              <w:bottom w:val="single" w:sz="4" w:space="0" w:color="auto"/>
              <w:right w:val="single" w:sz="4" w:space="0" w:color="auto"/>
            </w:tcBorders>
            <w:shd w:val="clear" w:color="auto" w:fill="auto"/>
            <w:noWrap/>
            <w:vAlign w:val="center"/>
            <w:hideMark/>
          </w:tcPr>
          <w:p w:rsidR="00B52AAC" w:rsidRPr="0015646E" w:rsidRDefault="00B52AAC" w:rsidP="0036425A">
            <w:pPr>
              <w:rPr>
                <w:rFonts w:ascii="Verdana" w:hAnsi="Verdana" w:cs="Arial"/>
                <w:sz w:val="20"/>
                <w:szCs w:val="20"/>
              </w:rPr>
            </w:pPr>
            <w:r w:rsidRPr="0015646E">
              <w:rPr>
                <w:rFonts w:ascii="Verdana" w:hAnsi="Verdana" w:cs="Arial"/>
                <w:sz w:val="20"/>
                <w:szCs w:val="20"/>
              </w:rPr>
              <w:t>GIRO D'AFFARI</w:t>
            </w:r>
          </w:p>
        </w:tc>
        <w:tc>
          <w:tcPr>
            <w:tcW w:w="1739" w:type="pct"/>
            <w:tcBorders>
              <w:top w:val="single" w:sz="4" w:space="0" w:color="auto"/>
              <w:left w:val="nil"/>
              <w:bottom w:val="single" w:sz="4" w:space="0" w:color="auto"/>
              <w:right w:val="single" w:sz="4" w:space="0" w:color="auto"/>
            </w:tcBorders>
            <w:shd w:val="clear" w:color="auto" w:fill="auto"/>
            <w:noWrap/>
            <w:vAlign w:val="bottom"/>
            <w:hideMark/>
          </w:tcPr>
          <w:p w:rsidR="00B52AAC" w:rsidRPr="0015646E" w:rsidRDefault="00B52AAC" w:rsidP="0036425A">
            <w:pPr>
              <w:jc w:val="center"/>
              <w:rPr>
                <w:rFonts w:ascii="Verdana" w:hAnsi="Verdana" w:cs="Arial"/>
                <w:sz w:val="20"/>
                <w:szCs w:val="20"/>
              </w:rPr>
            </w:pPr>
            <w:r w:rsidRPr="0015646E">
              <w:rPr>
                <w:rFonts w:ascii="Verdana" w:hAnsi="Verdana" w:cs="Arial"/>
                <w:sz w:val="20"/>
                <w:szCs w:val="20"/>
              </w:rPr>
              <w:t>+ 5,5%</w:t>
            </w:r>
          </w:p>
        </w:tc>
      </w:tr>
      <w:tr w:rsidR="00B52AAC" w:rsidRPr="0015646E" w:rsidTr="0036425A">
        <w:trPr>
          <w:trHeight w:val="300"/>
        </w:trPr>
        <w:tc>
          <w:tcPr>
            <w:tcW w:w="3261" w:type="pct"/>
            <w:tcBorders>
              <w:top w:val="nil"/>
              <w:left w:val="single" w:sz="8" w:space="0" w:color="auto"/>
              <w:bottom w:val="single" w:sz="4" w:space="0" w:color="auto"/>
              <w:right w:val="single" w:sz="4" w:space="0" w:color="auto"/>
            </w:tcBorders>
            <w:shd w:val="clear" w:color="auto" w:fill="auto"/>
            <w:noWrap/>
            <w:vAlign w:val="center"/>
            <w:hideMark/>
          </w:tcPr>
          <w:p w:rsidR="00B52AAC" w:rsidRPr="0015646E" w:rsidRDefault="00B52AAC" w:rsidP="0036425A">
            <w:pPr>
              <w:rPr>
                <w:rFonts w:ascii="Verdana" w:hAnsi="Verdana" w:cs="Arial"/>
                <w:sz w:val="20"/>
                <w:szCs w:val="20"/>
              </w:rPr>
            </w:pPr>
            <w:r w:rsidRPr="0015646E">
              <w:rPr>
                <w:rFonts w:ascii="Verdana" w:hAnsi="Verdana" w:cs="Arial"/>
                <w:sz w:val="20"/>
                <w:szCs w:val="20"/>
              </w:rPr>
              <w:t>INSEGNE OPERATIVE IN ITALIA</w:t>
            </w:r>
          </w:p>
        </w:tc>
        <w:tc>
          <w:tcPr>
            <w:tcW w:w="1739" w:type="pct"/>
            <w:tcBorders>
              <w:top w:val="single" w:sz="4" w:space="0" w:color="auto"/>
              <w:left w:val="nil"/>
              <w:bottom w:val="single" w:sz="4" w:space="0" w:color="auto"/>
              <w:right w:val="single" w:sz="4" w:space="0" w:color="auto"/>
            </w:tcBorders>
            <w:shd w:val="clear" w:color="auto" w:fill="auto"/>
            <w:noWrap/>
            <w:vAlign w:val="bottom"/>
            <w:hideMark/>
          </w:tcPr>
          <w:p w:rsidR="00B52AAC" w:rsidRPr="0015646E" w:rsidRDefault="00B52AAC" w:rsidP="0036425A">
            <w:pPr>
              <w:jc w:val="center"/>
              <w:rPr>
                <w:rFonts w:ascii="Verdana" w:hAnsi="Verdana" w:cs="Arial"/>
                <w:sz w:val="20"/>
                <w:szCs w:val="20"/>
              </w:rPr>
            </w:pPr>
            <w:r w:rsidRPr="0015646E">
              <w:rPr>
                <w:rFonts w:ascii="Verdana" w:hAnsi="Verdana" w:cs="Arial"/>
                <w:sz w:val="20"/>
                <w:szCs w:val="20"/>
              </w:rPr>
              <w:t>+ 14,2%</w:t>
            </w:r>
          </w:p>
        </w:tc>
      </w:tr>
      <w:tr w:rsidR="00B52AAC" w:rsidRPr="0015646E" w:rsidTr="0036425A">
        <w:trPr>
          <w:trHeight w:val="300"/>
        </w:trPr>
        <w:tc>
          <w:tcPr>
            <w:tcW w:w="3261" w:type="pct"/>
            <w:tcBorders>
              <w:top w:val="nil"/>
              <w:left w:val="single" w:sz="8" w:space="0" w:color="auto"/>
              <w:bottom w:val="single" w:sz="4" w:space="0" w:color="auto"/>
              <w:right w:val="single" w:sz="4" w:space="0" w:color="auto"/>
            </w:tcBorders>
            <w:shd w:val="clear" w:color="auto" w:fill="auto"/>
            <w:noWrap/>
            <w:vAlign w:val="center"/>
            <w:hideMark/>
          </w:tcPr>
          <w:p w:rsidR="00B52AAC" w:rsidRPr="0015646E" w:rsidRDefault="00B52AAC" w:rsidP="0036425A">
            <w:pPr>
              <w:rPr>
                <w:rFonts w:ascii="Verdana" w:hAnsi="Verdana" w:cs="Arial"/>
                <w:sz w:val="20"/>
                <w:szCs w:val="20"/>
              </w:rPr>
            </w:pPr>
            <w:r w:rsidRPr="0015646E">
              <w:rPr>
                <w:rFonts w:ascii="Verdana" w:hAnsi="Verdana" w:cs="Arial"/>
                <w:sz w:val="20"/>
                <w:szCs w:val="20"/>
              </w:rPr>
              <w:t>PUNTI VENDITA IN FRANCHISING IN ITALIA (PVF)</w:t>
            </w:r>
          </w:p>
        </w:tc>
        <w:tc>
          <w:tcPr>
            <w:tcW w:w="1739" w:type="pct"/>
            <w:tcBorders>
              <w:top w:val="single" w:sz="4" w:space="0" w:color="auto"/>
              <w:left w:val="nil"/>
              <w:bottom w:val="single" w:sz="4" w:space="0" w:color="auto"/>
              <w:right w:val="single" w:sz="4" w:space="0" w:color="auto"/>
            </w:tcBorders>
            <w:shd w:val="clear" w:color="auto" w:fill="auto"/>
            <w:noWrap/>
            <w:vAlign w:val="bottom"/>
            <w:hideMark/>
          </w:tcPr>
          <w:p w:rsidR="00B52AAC" w:rsidRPr="0015646E" w:rsidRDefault="00B52AAC" w:rsidP="0036425A">
            <w:pPr>
              <w:jc w:val="center"/>
              <w:rPr>
                <w:rFonts w:ascii="Verdana" w:hAnsi="Verdana" w:cs="Arial"/>
                <w:sz w:val="20"/>
                <w:szCs w:val="20"/>
              </w:rPr>
            </w:pPr>
            <w:r w:rsidRPr="0015646E">
              <w:rPr>
                <w:rFonts w:ascii="Verdana" w:hAnsi="Verdana" w:cs="Arial"/>
                <w:sz w:val="20"/>
                <w:szCs w:val="20"/>
              </w:rPr>
              <w:t>- 0,5%</w:t>
            </w:r>
          </w:p>
        </w:tc>
      </w:tr>
      <w:tr w:rsidR="00B52AAC" w:rsidRPr="0015646E" w:rsidTr="0036425A">
        <w:trPr>
          <w:trHeight w:val="600"/>
        </w:trPr>
        <w:tc>
          <w:tcPr>
            <w:tcW w:w="3261" w:type="pct"/>
            <w:tcBorders>
              <w:top w:val="nil"/>
              <w:left w:val="single" w:sz="8" w:space="0" w:color="auto"/>
              <w:bottom w:val="single" w:sz="4" w:space="0" w:color="auto"/>
              <w:right w:val="single" w:sz="4" w:space="0" w:color="auto"/>
            </w:tcBorders>
            <w:shd w:val="clear" w:color="auto" w:fill="auto"/>
            <w:vAlign w:val="center"/>
            <w:hideMark/>
          </w:tcPr>
          <w:p w:rsidR="00B52AAC" w:rsidRPr="0015646E" w:rsidRDefault="00B52AAC" w:rsidP="0036425A">
            <w:pPr>
              <w:rPr>
                <w:rFonts w:ascii="Verdana" w:hAnsi="Verdana" w:cs="Arial"/>
                <w:sz w:val="20"/>
                <w:szCs w:val="20"/>
              </w:rPr>
            </w:pPr>
            <w:r w:rsidRPr="0015646E">
              <w:rPr>
                <w:rFonts w:ascii="Verdana" w:hAnsi="Verdana" w:cs="Arial"/>
                <w:sz w:val="20"/>
                <w:szCs w:val="20"/>
              </w:rPr>
              <w:t>ADDETTI OCCUPATI NELLE RETI  (PVF) COMPRESO IL FRANCHISEE</w:t>
            </w:r>
          </w:p>
        </w:tc>
        <w:tc>
          <w:tcPr>
            <w:tcW w:w="1739" w:type="pct"/>
            <w:tcBorders>
              <w:top w:val="single" w:sz="4" w:space="0" w:color="auto"/>
              <w:left w:val="nil"/>
              <w:bottom w:val="single" w:sz="4" w:space="0" w:color="auto"/>
              <w:right w:val="single" w:sz="4" w:space="0" w:color="auto"/>
            </w:tcBorders>
            <w:shd w:val="clear" w:color="auto" w:fill="auto"/>
            <w:noWrap/>
            <w:vAlign w:val="bottom"/>
            <w:hideMark/>
          </w:tcPr>
          <w:p w:rsidR="00B52AAC" w:rsidRPr="0015646E" w:rsidRDefault="00B52AAC" w:rsidP="0036425A">
            <w:pPr>
              <w:jc w:val="center"/>
              <w:rPr>
                <w:rFonts w:ascii="Verdana" w:hAnsi="Verdana" w:cs="Arial"/>
                <w:sz w:val="20"/>
                <w:szCs w:val="20"/>
              </w:rPr>
            </w:pPr>
            <w:r w:rsidRPr="0015646E">
              <w:rPr>
                <w:rFonts w:ascii="Verdana" w:hAnsi="Verdana" w:cs="Arial"/>
                <w:sz w:val="20"/>
                <w:szCs w:val="20"/>
              </w:rPr>
              <w:t>+ 4,6%</w:t>
            </w:r>
          </w:p>
        </w:tc>
      </w:tr>
    </w:tbl>
    <w:p w:rsidR="00B52AAC" w:rsidRPr="0015646E" w:rsidRDefault="00B52AAC" w:rsidP="00B52AAC">
      <w:pPr>
        <w:pStyle w:val="Elencoacolori-Colore11"/>
        <w:spacing w:after="0" w:line="240" w:lineRule="auto"/>
        <w:ind w:left="0"/>
        <w:jc w:val="both"/>
        <w:rPr>
          <w:rFonts w:ascii="Verdana" w:hAnsi="Verdana"/>
          <w:i/>
          <w:sz w:val="20"/>
          <w:szCs w:val="20"/>
        </w:rPr>
      </w:pPr>
    </w:p>
    <w:p w:rsidR="00B52AAC" w:rsidRPr="0015646E" w:rsidRDefault="00B52AAC" w:rsidP="00B52AAC">
      <w:pPr>
        <w:pStyle w:val="Elencoacolori-Colore11"/>
        <w:spacing w:after="0" w:line="240" w:lineRule="auto"/>
        <w:ind w:left="0"/>
        <w:jc w:val="both"/>
        <w:rPr>
          <w:rFonts w:ascii="Verdana" w:hAnsi="Verdana"/>
          <w:sz w:val="18"/>
          <w:szCs w:val="18"/>
        </w:rPr>
      </w:pPr>
      <w:r w:rsidRPr="0015646E">
        <w:rPr>
          <w:rFonts w:ascii="Verdana" w:hAnsi="Verdana"/>
          <w:i/>
          <w:sz w:val="18"/>
          <w:szCs w:val="18"/>
        </w:rPr>
        <w:t>Fonte: Rapporto Assofranchising Italia 2013 –  Strutture, Tendenze e Scenari. A cura di Assofranchising. Realizzato ed elaborato dal Servizio Studi Assofranchising e dall’Osservatorio Permanente sul Franchising.</w:t>
      </w:r>
    </w:p>
    <w:p w:rsidR="00B52AAC" w:rsidRPr="0015646E" w:rsidRDefault="00B52AAC" w:rsidP="00B52AAC">
      <w:pPr>
        <w:pStyle w:val="Elencoacolori-Colore11"/>
        <w:rPr>
          <w:rFonts w:ascii="Verdana" w:hAnsi="Verdana"/>
          <w:sz w:val="20"/>
          <w:szCs w:val="20"/>
        </w:rPr>
      </w:pPr>
    </w:p>
    <w:p w:rsidR="00B52AAC" w:rsidRPr="0015646E" w:rsidRDefault="00B52AAC" w:rsidP="00B52AAC">
      <w:pPr>
        <w:pStyle w:val="Elencoacolori-Colore11"/>
        <w:spacing w:after="0"/>
        <w:ind w:left="0"/>
        <w:jc w:val="both"/>
        <w:rPr>
          <w:rFonts w:ascii="Verdana" w:hAnsi="Verdana"/>
          <w:sz w:val="20"/>
          <w:szCs w:val="20"/>
        </w:rPr>
      </w:pPr>
      <w:r w:rsidRPr="0015646E">
        <w:rPr>
          <w:rFonts w:ascii="Verdana" w:hAnsi="Verdana"/>
          <w:sz w:val="20"/>
          <w:szCs w:val="20"/>
        </w:rPr>
        <w:t>Dalla tabella emerge chiaramente come negli ultimi 5 anni, nonostante il periodo storico sfavorevole, le reti distributive in Franchising abbiano ottenuto significativi incrementi sia in termini di crescita di fatturato che di numero di addetti.</w:t>
      </w:r>
    </w:p>
    <w:p w:rsidR="00B52AAC" w:rsidRPr="0015646E" w:rsidRDefault="00B52AAC" w:rsidP="00B52AAC">
      <w:pPr>
        <w:pStyle w:val="Elencoacolori-Colore11"/>
        <w:spacing w:after="0"/>
        <w:ind w:left="0"/>
        <w:jc w:val="both"/>
        <w:rPr>
          <w:rFonts w:ascii="Verdana" w:hAnsi="Verdana"/>
          <w:sz w:val="20"/>
          <w:szCs w:val="20"/>
        </w:rPr>
      </w:pPr>
    </w:p>
    <w:p w:rsidR="00B52AAC" w:rsidRDefault="00F710F8" w:rsidP="00EB7A4F">
      <w:pPr>
        <w:pStyle w:val="Titolo1"/>
        <w:spacing w:line="276" w:lineRule="auto"/>
        <w:rPr>
          <w:rFonts w:ascii="Verdana" w:hAnsi="Verdana"/>
          <w:sz w:val="20"/>
          <w:szCs w:val="20"/>
        </w:rPr>
      </w:pPr>
      <w:r w:rsidRPr="0015646E">
        <w:rPr>
          <w:rFonts w:ascii="Verdana" w:hAnsi="Verdana"/>
          <w:sz w:val="20"/>
          <w:szCs w:val="20"/>
        </w:rPr>
        <w:t xml:space="preserve">I </w:t>
      </w:r>
      <w:r w:rsidR="00B52AAC" w:rsidRPr="0015646E">
        <w:rPr>
          <w:rFonts w:ascii="Verdana" w:hAnsi="Verdana"/>
          <w:sz w:val="20"/>
          <w:szCs w:val="20"/>
        </w:rPr>
        <w:t>punti vendita in Franchising, suddivisi per singola regione.</w:t>
      </w:r>
    </w:p>
    <w:p w:rsidR="0015646E" w:rsidRDefault="0015646E" w:rsidP="00EB7A4F">
      <w:pPr>
        <w:spacing w:line="276" w:lineRule="auto"/>
        <w:rPr>
          <w:lang w:eastAsia="it-IT"/>
        </w:rPr>
      </w:pPr>
    </w:p>
    <w:p w:rsidR="0015646E" w:rsidRPr="0015646E" w:rsidRDefault="0015646E" w:rsidP="00EB7A4F">
      <w:pPr>
        <w:spacing w:line="276" w:lineRule="auto"/>
        <w:jc w:val="both"/>
        <w:rPr>
          <w:rFonts w:ascii="Verdana" w:hAnsi="Verdana"/>
          <w:sz w:val="20"/>
          <w:szCs w:val="20"/>
        </w:rPr>
      </w:pPr>
      <w:r w:rsidRPr="0015646E">
        <w:rPr>
          <w:rFonts w:ascii="Verdana" w:hAnsi="Verdana"/>
          <w:sz w:val="20"/>
          <w:szCs w:val="20"/>
        </w:rPr>
        <w:t>La suddivisione regionale dei punti vendita in Franchising evidenzia il consolidamento del primato della Lombardia con 8.509 punti vendita nel 2013 (+ 118 unità rispetto al 2012) e la conferma dell’ultima posizione per la Valle d’Aosta, sede di 144 punti vendita (+1 unità nel confronto con il 2012), ricalcando il quadro già esaminato con riferimento alle reti attive.</w:t>
      </w:r>
    </w:p>
    <w:p w:rsidR="0015646E" w:rsidRPr="0015646E" w:rsidRDefault="0015646E" w:rsidP="00EB7A4F">
      <w:pPr>
        <w:spacing w:line="276" w:lineRule="auto"/>
        <w:jc w:val="both"/>
        <w:rPr>
          <w:rFonts w:ascii="Verdana" w:hAnsi="Verdana"/>
          <w:sz w:val="20"/>
          <w:szCs w:val="20"/>
        </w:rPr>
      </w:pPr>
      <w:r w:rsidRPr="0015646E">
        <w:rPr>
          <w:rFonts w:ascii="Verdana" w:hAnsi="Verdana"/>
          <w:sz w:val="20"/>
          <w:szCs w:val="20"/>
        </w:rPr>
        <w:t>In seconda posizione si colloca il Lazio, con 6.208 punti vendita, mentre il Piemonte ha scavalcato la Sicilia in terza posizione registrando 4.296 Franchisee contro 4.284. La Sicilia ha confermato anche per il 2013 una capillare diffusione dei punti vendita, nonostante la scarsa presenza di Franchisor.</w:t>
      </w:r>
    </w:p>
    <w:p w:rsidR="0015646E" w:rsidRPr="0015646E" w:rsidRDefault="0015646E" w:rsidP="00EB7A4F">
      <w:pPr>
        <w:spacing w:line="276" w:lineRule="auto"/>
        <w:jc w:val="both"/>
        <w:rPr>
          <w:lang w:eastAsia="it-IT"/>
        </w:rPr>
      </w:pPr>
      <w:r w:rsidRPr="0015646E">
        <w:rPr>
          <w:rFonts w:ascii="Verdana" w:hAnsi="Verdana"/>
          <w:sz w:val="20"/>
          <w:szCs w:val="20"/>
        </w:rPr>
        <w:t>La parte bassa della classifica è caratterizzata dalla presenza di regioni quali il Trentino Alto Adige, la Basilicata, il Molise e la Valle d’Aosta che nel 2013 hanno totalizzato 1.507 punti vendita, ovvero 39 unità in meno rispetto all’anno 2012.</w:t>
      </w:r>
    </w:p>
    <w:p w:rsidR="00B52AAC" w:rsidRPr="0015646E" w:rsidRDefault="00B52AAC" w:rsidP="00B52AAC">
      <w:pPr>
        <w:jc w:val="center"/>
        <w:rPr>
          <w:rFonts w:ascii="Verdana" w:hAnsi="Verdana"/>
          <w:sz w:val="20"/>
          <w:szCs w:val="20"/>
        </w:rPr>
      </w:pPr>
      <w:r w:rsidRPr="0015646E">
        <w:rPr>
          <w:rFonts w:ascii="Verdana" w:hAnsi="Verdana"/>
          <w:noProof/>
          <w:sz w:val="20"/>
          <w:szCs w:val="20"/>
          <w:lang w:eastAsia="it-IT"/>
        </w:rPr>
        <w:drawing>
          <wp:inline distT="0" distB="0" distL="0" distR="0" wp14:anchorId="1E6D9D1D" wp14:editId="6E31136F">
            <wp:extent cx="3524250" cy="3114948"/>
            <wp:effectExtent l="0" t="0" r="0" b="9525"/>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24250" cy="3114948"/>
                    </a:xfrm>
                    <a:prstGeom prst="rect">
                      <a:avLst/>
                    </a:prstGeom>
                    <a:noFill/>
                    <a:ln w="9525">
                      <a:noFill/>
                      <a:miter lim="800000"/>
                      <a:headEnd/>
                      <a:tailEnd/>
                    </a:ln>
                  </pic:spPr>
                </pic:pic>
              </a:graphicData>
            </a:graphic>
          </wp:inline>
        </w:drawing>
      </w:r>
    </w:p>
    <w:p w:rsidR="00B52AAC" w:rsidRPr="0015646E" w:rsidRDefault="00B52AAC" w:rsidP="00B52AAC">
      <w:pPr>
        <w:pStyle w:val="Elencoacolori-Colore11"/>
        <w:spacing w:after="0" w:line="240" w:lineRule="auto"/>
        <w:ind w:left="0"/>
        <w:jc w:val="both"/>
        <w:rPr>
          <w:rFonts w:ascii="Verdana" w:hAnsi="Verdana"/>
          <w:sz w:val="18"/>
          <w:szCs w:val="18"/>
        </w:rPr>
      </w:pPr>
      <w:r w:rsidRPr="0015646E">
        <w:rPr>
          <w:rFonts w:ascii="Verdana" w:hAnsi="Verdana"/>
          <w:i/>
          <w:sz w:val="18"/>
          <w:szCs w:val="18"/>
        </w:rPr>
        <w:t>Fonte: Rapporto Assofranchising Italia 2013 –  Strutture, Tendenze e Scenari. A cura di Assofranchising. Realizzato ed elaborato dal Servizio Studi Assofranchising e dall’Osservatorio Permanente sul Franchising.</w:t>
      </w:r>
    </w:p>
    <w:p w:rsidR="00B52AAC" w:rsidRPr="0015646E" w:rsidRDefault="00B52AAC" w:rsidP="00B52AAC">
      <w:pPr>
        <w:jc w:val="both"/>
        <w:rPr>
          <w:rFonts w:ascii="Verdana" w:hAnsi="Verdana"/>
          <w:sz w:val="20"/>
          <w:szCs w:val="20"/>
        </w:rPr>
      </w:pPr>
    </w:p>
    <w:p w:rsidR="00B52AAC" w:rsidRPr="0015646E" w:rsidRDefault="00B52AAC" w:rsidP="00EB7A4F">
      <w:pPr>
        <w:pStyle w:val="Titolo1"/>
        <w:spacing w:line="276" w:lineRule="auto"/>
        <w:rPr>
          <w:rFonts w:ascii="Verdana" w:hAnsi="Verdana"/>
          <w:sz w:val="20"/>
          <w:szCs w:val="20"/>
        </w:rPr>
      </w:pPr>
      <w:bookmarkStart w:id="2" w:name="_Toc389745460"/>
      <w:r w:rsidRPr="0015646E">
        <w:rPr>
          <w:rFonts w:ascii="Verdana" w:hAnsi="Verdana"/>
          <w:sz w:val="20"/>
          <w:szCs w:val="20"/>
        </w:rPr>
        <w:lastRenderedPageBreak/>
        <w:t>Suddivisione merceologica per aree Nielsen</w:t>
      </w:r>
      <w:bookmarkEnd w:id="2"/>
    </w:p>
    <w:p w:rsidR="0063512C" w:rsidRPr="0015646E" w:rsidRDefault="0063512C" w:rsidP="00EB7A4F">
      <w:pPr>
        <w:spacing w:line="276" w:lineRule="auto"/>
        <w:rPr>
          <w:rFonts w:ascii="Verdana" w:hAnsi="Verdana"/>
          <w:sz w:val="20"/>
          <w:szCs w:val="20"/>
          <w:lang w:eastAsia="it-IT"/>
        </w:rPr>
      </w:pPr>
    </w:p>
    <w:p w:rsidR="00B52AAC" w:rsidRPr="0015646E" w:rsidRDefault="00B52AAC" w:rsidP="00EB7A4F">
      <w:pPr>
        <w:spacing w:line="276" w:lineRule="auto"/>
        <w:jc w:val="both"/>
        <w:rPr>
          <w:rFonts w:ascii="Verdana" w:hAnsi="Verdana"/>
          <w:sz w:val="20"/>
          <w:szCs w:val="20"/>
        </w:rPr>
      </w:pPr>
      <w:r w:rsidRPr="0015646E">
        <w:rPr>
          <w:rFonts w:ascii="Verdana" w:hAnsi="Verdana"/>
          <w:sz w:val="20"/>
          <w:szCs w:val="20"/>
        </w:rPr>
        <w:t>La tabella n. 7 fornisce spunti di riflessione circa i settori che trainano maggiormente il sistema Franchising nazionale attraverso la suddivisione dei Franchisor per settore e area geografica di appartenenza. Tale disamina, attraverso gli orientamenti dei nuovi imprenditori, permette di indagare anche i settori che risultano maggiormente redditizi in termini di fatturato.</w:t>
      </w:r>
    </w:p>
    <w:p w:rsidR="00B52AAC" w:rsidRPr="0015646E" w:rsidRDefault="00B52AAC" w:rsidP="00EB7A4F">
      <w:pPr>
        <w:spacing w:line="276" w:lineRule="auto"/>
        <w:jc w:val="both"/>
        <w:rPr>
          <w:rFonts w:ascii="Verdana" w:hAnsi="Verdana"/>
          <w:sz w:val="20"/>
          <w:szCs w:val="20"/>
        </w:rPr>
      </w:pPr>
      <w:r w:rsidRPr="0015646E">
        <w:rPr>
          <w:rFonts w:ascii="Verdana" w:hAnsi="Verdana"/>
          <w:sz w:val="20"/>
          <w:szCs w:val="20"/>
        </w:rPr>
        <w:t>Di seguito si forniscono i dati per singolo settore:</w:t>
      </w:r>
    </w:p>
    <w:p w:rsidR="00B52AAC" w:rsidRPr="0015646E" w:rsidRDefault="00B52AAC" w:rsidP="00EB7A4F">
      <w:pPr>
        <w:numPr>
          <w:ilvl w:val="0"/>
          <w:numId w:val="7"/>
        </w:numPr>
        <w:spacing w:line="276" w:lineRule="auto"/>
        <w:jc w:val="both"/>
        <w:rPr>
          <w:rFonts w:ascii="Verdana" w:hAnsi="Verdana"/>
          <w:sz w:val="20"/>
          <w:szCs w:val="20"/>
        </w:rPr>
      </w:pPr>
      <w:r w:rsidRPr="0015646E">
        <w:rPr>
          <w:rFonts w:ascii="Verdana" w:hAnsi="Verdana"/>
          <w:b/>
          <w:sz w:val="20"/>
          <w:szCs w:val="20"/>
        </w:rPr>
        <w:t xml:space="preserve">Settore dei </w:t>
      </w:r>
      <w:r w:rsidRPr="0015646E">
        <w:rPr>
          <w:rFonts w:ascii="Verdana" w:hAnsi="Verdana"/>
          <w:b/>
          <w:i/>
          <w:sz w:val="20"/>
          <w:szCs w:val="20"/>
        </w:rPr>
        <w:t>servizi.</w:t>
      </w:r>
      <w:r w:rsidRPr="0015646E">
        <w:rPr>
          <w:rFonts w:ascii="Verdana" w:hAnsi="Verdana"/>
          <w:i/>
          <w:sz w:val="20"/>
          <w:szCs w:val="20"/>
        </w:rPr>
        <w:t xml:space="preserve"> </w:t>
      </w:r>
      <w:r w:rsidRPr="0015646E">
        <w:rPr>
          <w:rFonts w:ascii="Verdana" w:hAnsi="Verdana"/>
          <w:sz w:val="20"/>
          <w:szCs w:val="20"/>
        </w:rPr>
        <w:t>Nel 2013 ha totalizzato 475</w:t>
      </w:r>
      <w:r w:rsidRPr="0015646E">
        <w:rPr>
          <w:rFonts w:ascii="Verdana" w:hAnsi="Verdana"/>
          <w:i/>
          <w:sz w:val="20"/>
          <w:szCs w:val="20"/>
        </w:rPr>
        <w:t xml:space="preserve"> </w:t>
      </w:r>
      <w:r w:rsidRPr="0015646E">
        <w:rPr>
          <w:rFonts w:ascii="Verdana" w:hAnsi="Verdana"/>
          <w:sz w:val="20"/>
          <w:szCs w:val="20"/>
        </w:rPr>
        <w:t>reti, con un’incidenza sul valore totale pari al 50,59%. Il dato conferma il primato di tali attività terziarie considerando che, rispetto al precedente anno, l’incremento delle reti attive in tale settore è stato pari a 14, ovvero miglior risultato rispetto ai comparti concorrenti. Dunque, anche per il 2013 il settore ha conservato la nota vitalità nel creare nuova imprenditorialità sebbene in leggera attenuazione rispetto al 2012 (l’incremento delle reti era stato pari a 29);</w:t>
      </w:r>
    </w:p>
    <w:p w:rsidR="00B52AAC" w:rsidRPr="0015646E" w:rsidRDefault="00B52AAC" w:rsidP="00EB7A4F">
      <w:pPr>
        <w:numPr>
          <w:ilvl w:val="0"/>
          <w:numId w:val="7"/>
        </w:numPr>
        <w:spacing w:line="276" w:lineRule="auto"/>
        <w:jc w:val="both"/>
        <w:rPr>
          <w:rFonts w:ascii="Verdana" w:hAnsi="Verdana"/>
          <w:sz w:val="20"/>
          <w:szCs w:val="20"/>
        </w:rPr>
      </w:pPr>
      <w:r w:rsidRPr="0015646E">
        <w:rPr>
          <w:rFonts w:ascii="Verdana" w:hAnsi="Verdana"/>
          <w:b/>
          <w:sz w:val="20"/>
          <w:szCs w:val="20"/>
        </w:rPr>
        <w:t xml:space="preserve">Settore degli </w:t>
      </w:r>
      <w:r w:rsidRPr="0015646E">
        <w:rPr>
          <w:rFonts w:ascii="Verdana" w:hAnsi="Verdana"/>
          <w:b/>
          <w:i/>
          <w:sz w:val="20"/>
          <w:szCs w:val="20"/>
        </w:rPr>
        <w:t>articoli per la persona</w:t>
      </w:r>
      <w:r w:rsidRPr="0015646E">
        <w:rPr>
          <w:rFonts w:ascii="Verdana" w:hAnsi="Verdana"/>
          <w:b/>
          <w:sz w:val="20"/>
          <w:szCs w:val="20"/>
        </w:rPr>
        <w:t>.</w:t>
      </w:r>
      <w:r w:rsidRPr="0015646E">
        <w:rPr>
          <w:rFonts w:ascii="Verdana" w:hAnsi="Verdana"/>
          <w:sz w:val="20"/>
          <w:szCs w:val="20"/>
        </w:rPr>
        <w:t xml:space="preserve"> Ha totalizzato 214 reti con una flessione rispetto al 2012 pari a 17 unità. Nonostante ciò, il settore continua a collocarsi in seconda posizione incidendo nel sistema nazionale nella misura del 22,79%;</w:t>
      </w:r>
    </w:p>
    <w:p w:rsidR="00B52AAC" w:rsidRPr="0015646E" w:rsidRDefault="00B52AAC" w:rsidP="00EB7A4F">
      <w:pPr>
        <w:numPr>
          <w:ilvl w:val="0"/>
          <w:numId w:val="7"/>
        </w:numPr>
        <w:spacing w:line="276" w:lineRule="auto"/>
        <w:jc w:val="both"/>
        <w:rPr>
          <w:rFonts w:ascii="Verdana" w:hAnsi="Verdana"/>
          <w:sz w:val="20"/>
          <w:szCs w:val="20"/>
        </w:rPr>
      </w:pPr>
      <w:r w:rsidRPr="0015646E">
        <w:rPr>
          <w:rFonts w:ascii="Verdana" w:hAnsi="Verdana"/>
          <w:b/>
          <w:sz w:val="20"/>
          <w:szCs w:val="20"/>
        </w:rPr>
        <w:t xml:space="preserve">Settore </w:t>
      </w:r>
      <w:r w:rsidRPr="0015646E">
        <w:rPr>
          <w:rFonts w:ascii="Verdana" w:hAnsi="Verdana"/>
          <w:b/>
          <w:i/>
          <w:sz w:val="20"/>
          <w:szCs w:val="20"/>
        </w:rPr>
        <w:t>altro commercio specializzato.</w:t>
      </w:r>
      <w:r w:rsidRPr="0015646E">
        <w:rPr>
          <w:rFonts w:ascii="Verdana" w:hAnsi="Verdana"/>
          <w:sz w:val="20"/>
          <w:szCs w:val="20"/>
        </w:rPr>
        <w:t xml:space="preserve"> Si è attestato in terza posizione, con un totale di 133 Franchisor, ovvero 7 reti in più nel confronto con il 2012 a dimostrazione di un’apprezzabile vitalità del comparto;</w:t>
      </w:r>
    </w:p>
    <w:p w:rsidR="00B52AAC" w:rsidRPr="0015646E" w:rsidRDefault="00B52AAC" w:rsidP="00EB7A4F">
      <w:pPr>
        <w:numPr>
          <w:ilvl w:val="0"/>
          <w:numId w:val="7"/>
        </w:numPr>
        <w:spacing w:line="276" w:lineRule="auto"/>
        <w:jc w:val="both"/>
        <w:rPr>
          <w:rFonts w:ascii="Verdana" w:hAnsi="Verdana"/>
          <w:sz w:val="20"/>
          <w:szCs w:val="20"/>
        </w:rPr>
      </w:pPr>
      <w:r w:rsidRPr="0015646E">
        <w:rPr>
          <w:rFonts w:ascii="Verdana" w:hAnsi="Verdana"/>
          <w:b/>
          <w:sz w:val="20"/>
          <w:szCs w:val="20"/>
        </w:rPr>
        <w:t xml:space="preserve">Settore </w:t>
      </w:r>
      <w:r w:rsidRPr="0015646E">
        <w:rPr>
          <w:rFonts w:ascii="Verdana" w:hAnsi="Verdana"/>
          <w:b/>
          <w:i/>
          <w:sz w:val="20"/>
          <w:szCs w:val="20"/>
        </w:rPr>
        <w:t>articoli per la casa</w:t>
      </w:r>
      <w:r w:rsidRPr="0015646E">
        <w:rPr>
          <w:rFonts w:ascii="Verdana" w:hAnsi="Verdana"/>
          <w:sz w:val="20"/>
          <w:szCs w:val="20"/>
        </w:rPr>
        <w:t>. Nel confronto con l’anno precedente le reti sono incrementate di 4 unità, attestandosi a 41. Il settore ha “pesato” sul sistema nazionale nella misura del 4,37%, consolidando la quarta posizione.</w:t>
      </w:r>
    </w:p>
    <w:p w:rsidR="00B52AAC" w:rsidRPr="0015646E" w:rsidRDefault="00B52AAC" w:rsidP="00EB7A4F">
      <w:pPr>
        <w:numPr>
          <w:ilvl w:val="0"/>
          <w:numId w:val="7"/>
        </w:numPr>
        <w:spacing w:line="276" w:lineRule="auto"/>
        <w:jc w:val="both"/>
        <w:rPr>
          <w:rFonts w:ascii="Verdana" w:hAnsi="Verdana"/>
          <w:sz w:val="20"/>
          <w:szCs w:val="20"/>
        </w:rPr>
      </w:pPr>
      <w:r w:rsidRPr="0015646E">
        <w:rPr>
          <w:rFonts w:ascii="Verdana" w:hAnsi="Verdana"/>
          <w:b/>
          <w:sz w:val="20"/>
          <w:szCs w:val="20"/>
        </w:rPr>
        <w:t xml:space="preserve">Settore </w:t>
      </w:r>
      <w:r w:rsidRPr="0015646E">
        <w:rPr>
          <w:rFonts w:ascii="Verdana" w:hAnsi="Verdana"/>
          <w:b/>
          <w:i/>
          <w:sz w:val="20"/>
          <w:szCs w:val="20"/>
        </w:rPr>
        <w:t>commercio alimentare specializzato</w:t>
      </w:r>
      <w:r w:rsidRPr="0015646E">
        <w:rPr>
          <w:rFonts w:ascii="Verdana" w:hAnsi="Verdana"/>
          <w:b/>
          <w:sz w:val="20"/>
          <w:szCs w:val="20"/>
        </w:rPr>
        <w:t>.</w:t>
      </w:r>
      <w:r w:rsidRPr="0015646E">
        <w:rPr>
          <w:rFonts w:ascii="Verdana" w:hAnsi="Verdana"/>
          <w:sz w:val="20"/>
          <w:szCs w:val="20"/>
        </w:rPr>
        <w:t xml:space="preserve"> Rappresenta il settore che, in quanto a perdita di reti, si colloca in seconda posizione subito dopo il settore </w:t>
      </w:r>
      <w:r w:rsidRPr="0015646E">
        <w:rPr>
          <w:rFonts w:ascii="Verdana" w:hAnsi="Verdana"/>
          <w:i/>
          <w:sz w:val="20"/>
          <w:szCs w:val="20"/>
        </w:rPr>
        <w:t>“articoli per la persona”</w:t>
      </w:r>
      <w:r w:rsidRPr="0015646E">
        <w:rPr>
          <w:rFonts w:ascii="Verdana" w:hAnsi="Verdana"/>
          <w:sz w:val="20"/>
          <w:szCs w:val="20"/>
        </w:rPr>
        <w:t xml:space="preserve">. Nello specifico, le reti attive nel 2013 sono risultate pari a 38 contro le 46 del 2012. Il dato può essere meglio interpretato considerando che l’attuale crisi economica sta inevitabilmente influenzando anche le scelte del consumatore inducendolo sempre più a “tagliare” le spese alimentari e, inevitabilmente, orientarsi su prodotti più economici acquistabili presso gli hard discount.  </w:t>
      </w:r>
    </w:p>
    <w:p w:rsidR="00B52AAC" w:rsidRPr="0015646E" w:rsidRDefault="00B52AAC" w:rsidP="00EB7A4F">
      <w:pPr>
        <w:numPr>
          <w:ilvl w:val="0"/>
          <w:numId w:val="7"/>
        </w:numPr>
        <w:spacing w:line="276" w:lineRule="auto"/>
        <w:jc w:val="both"/>
        <w:rPr>
          <w:rFonts w:ascii="Verdana" w:hAnsi="Verdana"/>
          <w:sz w:val="20"/>
          <w:szCs w:val="20"/>
        </w:rPr>
      </w:pPr>
      <w:r w:rsidRPr="0015646E">
        <w:rPr>
          <w:rFonts w:ascii="Verdana" w:hAnsi="Verdana"/>
          <w:b/>
          <w:sz w:val="20"/>
          <w:szCs w:val="20"/>
        </w:rPr>
        <w:t xml:space="preserve">Settore </w:t>
      </w:r>
      <w:r w:rsidRPr="0015646E">
        <w:rPr>
          <w:rFonts w:ascii="Verdana" w:hAnsi="Verdana"/>
          <w:b/>
          <w:i/>
          <w:sz w:val="20"/>
          <w:szCs w:val="20"/>
        </w:rPr>
        <w:t>commercio non specializzato.</w:t>
      </w:r>
      <w:r w:rsidRPr="0015646E">
        <w:rPr>
          <w:rFonts w:ascii="Verdana" w:hAnsi="Verdana"/>
          <w:sz w:val="20"/>
          <w:szCs w:val="20"/>
        </w:rPr>
        <w:t xml:space="preserve"> La propensione a creare nuova imprenditorialità si è mantenuta pressoché inalterata rispetto al precedente anno, passando da 28 a 29 reti. L’incidenza sul sistema nazionale è risultata pari al 3,09%, contro il 2,98% del 2012;</w:t>
      </w:r>
    </w:p>
    <w:p w:rsidR="00B52AAC" w:rsidRPr="0015646E" w:rsidRDefault="00B52AAC" w:rsidP="00EB7A4F">
      <w:pPr>
        <w:numPr>
          <w:ilvl w:val="0"/>
          <w:numId w:val="7"/>
        </w:numPr>
        <w:spacing w:line="276" w:lineRule="auto"/>
        <w:jc w:val="both"/>
        <w:rPr>
          <w:rFonts w:ascii="Verdana" w:hAnsi="Verdana"/>
          <w:sz w:val="20"/>
          <w:szCs w:val="20"/>
        </w:rPr>
      </w:pPr>
      <w:r w:rsidRPr="0015646E">
        <w:rPr>
          <w:rFonts w:ascii="Verdana" w:hAnsi="Verdana"/>
          <w:b/>
          <w:sz w:val="20"/>
          <w:szCs w:val="20"/>
        </w:rPr>
        <w:t xml:space="preserve">Settore </w:t>
      </w:r>
      <w:r w:rsidRPr="0015646E">
        <w:rPr>
          <w:rFonts w:ascii="Verdana" w:hAnsi="Verdana"/>
          <w:b/>
          <w:i/>
          <w:sz w:val="20"/>
          <w:szCs w:val="20"/>
        </w:rPr>
        <w:t>costruzione e manutenzione.</w:t>
      </w:r>
      <w:r w:rsidRPr="0015646E">
        <w:rPr>
          <w:rFonts w:ascii="Verdana" w:hAnsi="Verdana"/>
          <w:i/>
          <w:sz w:val="20"/>
          <w:szCs w:val="20"/>
        </w:rPr>
        <w:t xml:space="preserve"> </w:t>
      </w:r>
      <w:r w:rsidRPr="0015646E">
        <w:rPr>
          <w:rFonts w:ascii="Verdana" w:hAnsi="Verdana"/>
          <w:sz w:val="20"/>
          <w:szCs w:val="20"/>
        </w:rPr>
        <w:t>Nel 2013 si confermato il dato registrato anche nel 2012, ovvero la presenza di 9 reti.</w:t>
      </w:r>
    </w:p>
    <w:p w:rsidR="00B52AAC" w:rsidRPr="0015646E" w:rsidRDefault="00B52AAC" w:rsidP="00EB7A4F">
      <w:pPr>
        <w:spacing w:line="276" w:lineRule="auto"/>
        <w:jc w:val="both"/>
        <w:rPr>
          <w:rFonts w:ascii="Verdana" w:hAnsi="Verdana"/>
          <w:sz w:val="20"/>
          <w:szCs w:val="20"/>
        </w:rPr>
      </w:pPr>
      <w:r w:rsidRPr="0015646E">
        <w:rPr>
          <w:rFonts w:ascii="Verdana" w:hAnsi="Verdana"/>
          <w:sz w:val="20"/>
          <w:szCs w:val="20"/>
        </w:rPr>
        <w:t>Circa la categoria “reti estere senza sede legale in Italia” i dati più significativi riguardano due settori:</w:t>
      </w:r>
    </w:p>
    <w:p w:rsidR="00B52AAC" w:rsidRPr="0015646E" w:rsidRDefault="00B52AAC" w:rsidP="00EB7A4F">
      <w:pPr>
        <w:numPr>
          <w:ilvl w:val="0"/>
          <w:numId w:val="26"/>
        </w:numPr>
        <w:spacing w:line="276" w:lineRule="auto"/>
        <w:jc w:val="both"/>
        <w:rPr>
          <w:rFonts w:ascii="Verdana" w:hAnsi="Verdana"/>
          <w:sz w:val="20"/>
          <w:szCs w:val="20"/>
        </w:rPr>
      </w:pPr>
      <w:r w:rsidRPr="0015646E">
        <w:rPr>
          <w:rFonts w:ascii="Verdana" w:hAnsi="Verdana"/>
          <w:i/>
          <w:sz w:val="20"/>
          <w:szCs w:val="20"/>
        </w:rPr>
        <w:t>servizi</w:t>
      </w:r>
      <w:r w:rsidRPr="0015646E">
        <w:rPr>
          <w:rFonts w:ascii="Verdana" w:hAnsi="Verdana"/>
          <w:sz w:val="20"/>
          <w:szCs w:val="20"/>
        </w:rPr>
        <w:t>, con 15 reti, pari al 44,12% delle reti rientranti in tale tipologia;</w:t>
      </w:r>
    </w:p>
    <w:p w:rsidR="00EB7A4F" w:rsidRDefault="00B52AAC" w:rsidP="00EB7A4F">
      <w:pPr>
        <w:numPr>
          <w:ilvl w:val="0"/>
          <w:numId w:val="26"/>
        </w:numPr>
        <w:spacing w:line="276" w:lineRule="auto"/>
        <w:jc w:val="both"/>
        <w:rPr>
          <w:rFonts w:ascii="Verdana" w:hAnsi="Verdana"/>
          <w:sz w:val="20"/>
          <w:szCs w:val="20"/>
        </w:rPr>
      </w:pPr>
      <w:r w:rsidRPr="0015646E">
        <w:rPr>
          <w:rFonts w:ascii="Verdana" w:hAnsi="Verdana"/>
          <w:i/>
          <w:sz w:val="20"/>
          <w:szCs w:val="20"/>
        </w:rPr>
        <w:t xml:space="preserve">articoli per la persona, </w:t>
      </w:r>
      <w:r w:rsidRPr="0015646E">
        <w:rPr>
          <w:rFonts w:ascii="Verdana" w:hAnsi="Verdana"/>
          <w:sz w:val="20"/>
          <w:szCs w:val="20"/>
        </w:rPr>
        <w:t>che con la presenza di 12 reti incide nella misura del 35,29% sul totale delle reti.</w:t>
      </w:r>
    </w:p>
    <w:p w:rsidR="00EB7A4F" w:rsidRDefault="00EB7A4F">
      <w:pPr>
        <w:spacing w:after="200" w:line="276" w:lineRule="auto"/>
        <w:rPr>
          <w:rFonts w:ascii="Verdana" w:hAnsi="Verdana"/>
          <w:sz w:val="20"/>
          <w:szCs w:val="20"/>
        </w:rPr>
      </w:pPr>
      <w:r>
        <w:rPr>
          <w:rFonts w:ascii="Verdana" w:hAnsi="Verdana"/>
          <w:sz w:val="20"/>
          <w:szCs w:val="20"/>
        </w:rPr>
        <w:br w:type="page"/>
      </w:r>
    </w:p>
    <w:p w:rsidR="00B52AAC" w:rsidRPr="0015646E" w:rsidRDefault="00B52AAC" w:rsidP="00B52AAC">
      <w:pPr>
        <w:spacing w:line="360" w:lineRule="auto"/>
        <w:jc w:val="both"/>
        <w:rPr>
          <w:rFonts w:ascii="Verdana" w:hAnsi="Verdana"/>
          <w:sz w:val="20"/>
          <w:szCs w:val="20"/>
        </w:rPr>
      </w:pPr>
    </w:p>
    <w:p w:rsidR="00B52AAC" w:rsidRPr="0015646E" w:rsidRDefault="00B52AAC" w:rsidP="00736FA1">
      <w:pPr>
        <w:pStyle w:val="Didascalia"/>
        <w:keepNext/>
        <w:spacing w:line="240" w:lineRule="atLeast"/>
        <w:jc w:val="left"/>
        <w:rPr>
          <w:rFonts w:ascii="Verdana" w:hAnsi="Verdana"/>
          <w:b/>
          <w:i w:val="0"/>
          <w:sz w:val="20"/>
        </w:rPr>
      </w:pPr>
      <w:r w:rsidRPr="0015646E">
        <w:rPr>
          <w:rFonts w:ascii="Verdana" w:hAnsi="Verdana"/>
          <w:b/>
          <w:i w:val="0"/>
          <w:sz w:val="20"/>
        </w:rPr>
        <w:t>Tabella n. 7: Suddivisione settoriale per aree Nielsen e delle reti attive in Italia</w:t>
      </w:r>
    </w:p>
    <w:tbl>
      <w:tblPr>
        <w:tblW w:w="0" w:type="auto"/>
        <w:tblLayout w:type="fixed"/>
        <w:tblCellMar>
          <w:left w:w="70" w:type="dxa"/>
          <w:right w:w="70" w:type="dxa"/>
        </w:tblCellMar>
        <w:tblLook w:val="04A0" w:firstRow="1" w:lastRow="0" w:firstColumn="1" w:lastColumn="0" w:noHBand="0" w:noVBand="1"/>
      </w:tblPr>
      <w:tblGrid>
        <w:gridCol w:w="1913"/>
        <w:gridCol w:w="1134"/>
        <w:gridCol w:w="1134"/>
        <w:gridCol w:w="1134"/>
        <w:gridCol w:w="992"/>
        <w:gridCol w:w="993"/>
        <w:gridCol w:w="850"/>
        <w:gridCol w:w="851"/>
        <w:gridCol w:w="777"/>
      </w:tblGrid>
      <w:tr w:rsidR="00B52AAC" w:rsidRPr="0015646E" w:rsidTr="00B36A0E">
        <w:trPr>
          <w:trHeight w:val="255"/>
        </w:trPr>
        <w:tc>
          <w:tcPr>
            <w:tcW w:w="1913" w:type="dxa"/>
            <w:tcBorders>
              <w:top w:val="single" w:sz="4" w:space="0" w:color="auto"/>
              <w:left w:val="single" w:sz="8" w:space="0" w:color="auto"/>
              <w:bottom w:val="single" w:sz="4" w:space="0" w:color="auto"/>
              <w:right w:val="single" w:sz="4" w:space="0" w:color="auto"/>
            </w:tcBorders>
            <w:shd w:val="clear" w:color="auto" w:fill="DFA312"/>
            <w:noWrap/>
            <w:vAlign w:val="center"/>
            <w:hideMark/>
          </w:tcPr>
          <w:p w:rsidR="00B52AAC" w:rsidRPr="00F75EF6" w:rsidRDefault="00B52AAC" w:rsidP="00506399">
            <w:pPr>
              <w:jc w:val="center"/>
              <w:rPr>
                <w:rFonts w:ascii="Verdana" w:hAnsi="Verdana" w:cs="Arial"/>
                <w:b/>
                <w:bCs/>
                <w:sz w:val="16"/>
                <w:szCs w:val="16"/>
              </w:rPr>
            </w:pPr>
            <w:r w:rsidRPr="00F75EF6">
              <w:rPr>
                <w:rFonts w:ascii="Verdana" w:hAnsi="Verdana" w:cs="Arial"/>
                <w:b/>
                <w:bCs/>
                <w:sz w:val="16"/>
                <w:szCs w:val="16"/>
              </w:rPr>
              <w:t>DIMENSIONE MERCEOLOGICA</w:t>
            </w:r>
          </w:p>
        </w:tc>
        <w:tc>
          <w:tcPr>
            <w:tcW w:w="1134" w:type="dxa"/>
            <w:tcBorders>
              <w:top w:val="single" w:sz="4" w:space="0" w:color="auto"/>
              <w:left w:val="nil"/>
              <w:bottom w:val="single" w:sz="4" w:space="0" w:color="auto"/>
              <w:right w:val="single" w:sz="4" w:space="0" w:color="auto"/>
            </w:tcBorders>
            <w:shd w:val="clear" w:color="auto" w:fill="DFA312"/>
            <w:noWrap/>
            <w:vAlign w:val="center"/>
            <w:hideMark/>
          </w:tcPr>
          <w:p w:rsidR="00B52AAC" w:rsidRPr="00F75EF6" w:rsidRDefault="00B52AAC" w:rsidP="00506399">
            <w:pPr>
              <w:jc w:val="center"/>
              <w:rPr>
                <w:rFonts w:ascii="Verdana" w:hAnsi="Verdana" w:cs="Arial"/>
                <w:b/>
                <w:bCs/>
                <w:sz w:val="16"/>
                <w:szCs w:val="16"/>
              </w:rPr>
            </w:pPr>
            <w:r w:rsidRPr="00F75EF6">
              <w:rPr>
                <w:rFonts w:ascii="Verdana" w:hAnsi="Verdana" w:cs="Arial"/>
                <w:b/>
                <w:bCs/>
                <w:sz w:val="16"/>
                <w:szCs w:val="16"/>
              </w:rPr>
              <w:t>AREA 1 - Nord-Ovest</w:t>
            </w:r>
          </w:p>
        </w:tc>
        <w:tc>
          <w:tcPr>
            <w:tcW w:w="1134" w:type="dxa"/>
            <w:tcBorders>
              <w:top w:val="single" w:sz="4" w:space="0" w:color="auto"/>
              <w:left w:val="nil"/>
              <w:bottom w:val="single" w:sz="4" w:space="0" w:color="auto"/>
              <w:right w:val="single" w:sz="4" w:space="0" w:color="auto"/>
            </w:tcBorders>
            <w:shd w:val="clear" w:color="auto" w:fill="DFA312"/>
            <w:noWrap/>
            <w:vAlign w:val="center"/>
            <w:hideMark/>
          </w:tcPr>
          <w:p w:rsidR="00B52AAC" w:rsidRPr="00F75EF6" w:rsidRDefault="00B52AAC" w:rsidP="00506399">
            <w:pPr>
              <w:jc w:val="center"/>
              <w:rPr>
                <w:rFonts w:ascii="Verdana" w:hAnsi="Verdana" w:cs="Arial"/>
                <w:b/>
                <w:bCs/>
                <w:sz w:val="16"/>
                <w:szCs w:val="16"/>
              </w:rPr>
            </w:pPr>
            <w:r w:rsidRPr="00F75EF6">
              <w:rPr>
                <w:rFonts w:ascii="Verdana" w:hAnsi="Verdana" w:cs="Arial"/>
                <w:b/>
                <w:bCs/>
                <w:sz w:val="16"/>
                <w:szCs w:val="16"/>
              </w:rPr>
              <w:t>AREA 2 - Nord-Est</w:t>
            </w:r>
          </w:p>
        </w:tc>
        <w:tc>
          <w:tcPr>
            <w:tcW w:w="1134" w:type="dxa"/>
            <w:tcBorders>
              <w:top w:val="single" w:sz="4" w:space="0" w:color="auto"/>
              <w:left w:val="nil"/>
              <w:bottom w:val="single" w:sz="4" w:space="0" w:color="auto"/>
              <w:right w:val="single" w:sz="4" w:space="0" w:color="auto"/>
            </w:tcBorders>
            <w:shd w:val="clear" w:color="auto" w:fill="DFA312"/>
            <w:noWrap/>
            <w:vAlign w:val="center"/>
            <w:hideMark/>
          </w:tcPr>
          <w:p w:rsidR="00B52AAC" w:rsidRPr="00F75EF6" w:rsidRDefault="00B52AAC" w:rsidP="00506399">
            <w:pPr>
              <w:jc w:val="center"/>
              <w:rPr>
                <w:rFonts w:ascii="Verdana" w:hAnsi="Verdana" w:cs="Arial"/>
                <w:b/>
                <w:bCs/>
                <w:sz w:val="16"/>
                <w:szCs w:val="16"/>
              </w:rPr>
            </w:pPr>
            <w:r w:rsidRPr="00F75EF6">
              <w:rPr>
                <w:rFonts w:ascii="Verdana" w:hAnsi="Verdana" w:cs="Arial"/>
                <w:b/>
                <w:bCs/>
                <w:sz w:val="16"/>
                <w:szCs w:val="16"/>
              </w:rPr>
              <w:t>AREA 3 - Centro</w:t>
            </w:r>
          </w:p>
        </w:tc>
        <w:tc>
          <w:tcPr>
            <w:tcW w:w="992" w:type="dxa"/>
            <w:tcBorders>
              <w:top w:val="single" w:sz="4" w:space="0" w:color="auto"/>
              <w:left w:val="nil"/>
              <w:bottom w:val="single" w:sz="4" w:space="0" w:color="auto"/>
              <w:right w:val="single" w:sz="4" w:space="0" w:color="auto"/>
            </w:tcBorders>
            <w:shd w:val="clear" w:color="auto" w:fill="DFA312"/>
            <w:noWrap/>
            <w:vAlign w:val="center"/>
            <w:hideMark/>
          </w:tcPr>
          <w:p w:rsidR="00B52AAC" w:rsidRPr="00F75EF6" w:rsidRDefault="00B52AAC" w:rsidP="00506399">
            <w:pPr>
              <w:jc w:val="center"/>
              <w:rPr>
                <w:rFonts w:ascii="Verdana" w:hAnsi="Verdana" w:cs="Arial"/>
                <w:b/>
                <w:bCs/>
                <w:sz w:val="16"/>
                <w:szCs w:val="16"/>
              </w:rPr>
            </w:pPr>
            <w:r w:rsidRPr="00F75EF6">
              <w:rPr>
                <w:rFonts w:ascii="Verdana" w:hAnsi="Verdana" w:cs="Arial"/>
                <w:b/>
                <w:bCs/>
                <w:sz w:val="16"/>
                <w:szCs w:val="16"/>
              </w:rPr>
              <w:t>AREA 4 - Sud-Isole</w:t>
            </w:r>
          </w:p>
        </w:tc>
        <w:tc>
          <w:tcPr>
            <w:tcW w:w="993" w:type="dxa"/>
            <w:tcBorders>
              <w:top w:val="single" w:sz="4" w:space="0" w:color="auto"/>
              <w:left w:val="nil"/>
              <w:bottom w:val="single" w:sz="4" w:space="0" w:color="auto"/>
              <w:right w:val="single" w:sz="4" w:space="0" w:color="auto"/>
            </w:tcBorders>
            <w:shd w:val="clear" w:color="auto" w:fill="DFA312"/>
            <w:noWrap/>
            <w:vAlign w:val="center"/>
            <w:hideMark/>
          </w:tcPr>
          <w:p w:rsidR="00B52AAC" w:rsidRPr="00F75EF6" w:rsidRDefault="00B52AAC" w:rsidP="00506399">
            <w:pPr>
              <w:jc w:val="center"/>
              <w:rPr>
                <w:rFonts w:ascii="Verdana" w:hAnsi="Verdana" w:cs="Arial"/>
                <w:b/>
                <w:bCs/>
                <w:sz w:val="16"/>
                <w:szCs w:val="16"/>
              </w:rPr>
            </w:pPr>
            <w:r w:rsidRPr="00F75EF6">
              <w:rPr>
                <w:rFonts w:ascii="Verdana" w:hAnsi="Verdana" w:cs="Arial"/>
                <w:b/>
                <w:bCs/>
                <w:sz w:val="16"/>
                <w:szCs w:val="16"/>
              </w:rPr>
              <w:t>Reti estere</w:t>
            </w:r>
          </w:p>
        </w:tc>
        <w:tc>
          <w:tcPr>
            <w:tcW w:w="850" w:type="dxa"/>
            <w:tcBorders>
              <w:top w:val="single" w:sz="4" w:space="0" w:color="auto"/>
              <w:left w:val="nil"/>
              <w:bottom w:val="single" w:sz="4" w:space="0" w:color="auto"/>
              <w:right w:val="single" w:sz="4" w:space="0" w:color="auto"/>
            </w:tcBorders>
            <w:shd w:val="clear" w:color="auto" w:fill="DFA312"/>
            <w:noWrap/>
            <w:vAlign w:val="center"/>
            <w:hideMark/>
          </w:tcPr>
          <w:p w:rsidR="00B52AAC" w:rsidRPr="00F75EF6" w:rsidRDefault="00B52AAC" w:rsidP="00506399">
            <w:pPr>
              <w:jc w:val="center"/>
              <w:rPr>
                <w:rFonts w:ascii="Verdana" w:hAnsi="Verdana" w:cs="Arial"/>
                <w:b/>
                <w:bCs/>
                <w:sz w:val="16"/>
                <w:szCs w:val="16"/>
              </w:rPr>
            </w:pPr>
            <w:r w:rsidRPr="00F75EF6">
              <w:rPr>
                <w:rFonts w:ascii="Verdana" w:hAnsi="Verdana" w:cs="Arial"/>
                <w:b/>
                <w:bCs/>
                <w:sz w:val="16"/>
                <w:szCs w:val="16"/>
              </w:rPr>
              <w:t>TOTALE 2013</w:t>
            </w:r>
          </w:p>
        </w:tc>
        <w:tc>
          <w:tcPr>
            <w:tcW w:w="851" w:type="dxa"/>
            <w:tcBorders>
              <w:top w:val="single" w:sz="4" w:space="0" w:color="auto"/>
              <w:left w:val="nil"/>
              <w:bottom w:val="single" w:sz="4" w:space="0" w:color="auto"/>
              <w:right w:val="single" w:sz="4" w:space="0" w:color="auto"/>
            </w:tcBorders>
            <w:shd w:val="clear" w:color="auto" w:fill="DFA312"/>
            <w:noWrap/>
            <w:vAlign w:val="center"/>
            <w:hideMark/>
          </w:tcPr>
          <w:p w:rsidR="00B52AAC" w:rsidRPr="00F75EF6" w:rsidRDefault="00B52AAC" w:rsidP="00506399">
            <w:pPr>
              <w:jc w:val="center"/>
              <w:rPr>
                <w:rFonts w:ascii="Verdana" w:hAnsi="Verdana" w:cs="Arial"/>
                <w:b/>
                <w:bCs/>
                <w:sz w:val="16"/>
                <w:szCs w:val="16"/>
              </w:rPr>
            </w:pPr>
            <w:r w:rsidRPr="00F75EF6">
              <w:rPr>
                <w:rFonts w:ascii="Verdana" w:hAnsi="Verdana" w:cs="Arial"/>
                <w:b/>
                <w:bCs/>
                <w:sz w:val="16"/>
                <w:szCs w:val="16"/>
              </w:rPr>
              <w:t>TOTALE 2012</w:t>
            </w:r>
          </w:p>
        </w:tc>
        <w:tc>
          <w:tcPr>
            <w:tcW w:w="777" w:type="dxa"/>
            <w:tcBorders>
              <w:top w:val="single" w:sz="4" w:space="0" w:color="auto"/>
              <w:left w:val="nil"/>
              <w:bottom w:val="single" w:sz="4" w:space="0" w:color="auto"/>
              <w:right w:val="single" w:sz="4" w:space="0" w:color="auto"/>
            </w:tcBorders>
            <w:shd w:val="clear" w:color="auto" w:fill="DFA312"/>
            <w:noWrap/>
            <w:vAlign w:val="center"/>
            <w:hideMark/>
          </w:tcPr>
          <w:p w:rsidR="00B52AAC" w:rsidRPr="00F75EF6" w:rsidRDefault="00B52AAC" w:rsidP="00506399">
            <w:pPr>
              <w:jc w:val="center"/>
              <w:rPr>
                <w:rFonts w:ascii="Verdana" w:hAnsi="Verdana" w:cs="Arial"/>
                <w:b/>
                <w:bCs/>
                <w:sz w:val="16"/>
                <w:szCs w:val="16"/>
              </w:rPr>
            </w:pPr>
            <w:proofErr w:type="spellStart"/>
            <w:r w:rsidRPr="00F75EF6">
              <w:rPr>
                <w:rFonts w:ascii="Verdana" w:hAnsi="Verdana" w:cs="Arial"/>
                <w:b/>
                <w:bCs/>
                <w:sz w:val="16"/>
                <w:szCs w:val="16"/>
              </w:rPr>
              <w:t>Diff</w:t>
            </w:r>
            <w:proofErr w:type="spellEnd"/>
            <w:r w:rsidRPr="00F75EF6">
              <w:rPr>
                <w:rFonts w:ascii="Verdana" w:hAnsi="Verdana" w:cs="Arial"/>
                <w:b/>
                <w:bCs/>
                <w:sz w:val="16"/>
                <w:szCs w:val="16"/>
              </w:rPr>
              <w:t>.</w:t>
            </w:r>
          </w:p>
        </w:tc>
      </w:tr>
      <w:tr w:rsidR="00B52AAC" w:rsidRPr="0015646E" w:rsidTr="0036425A">
        <w:trPr>
          <w:trHeight w:val="255"/>
        </w:trPr>
        <w:tc>
          <w:tcPr>
            <w:tcW w:w="1913" w:type="dxa"/>
            <w:tcBorders>
              <w:top w:val="nil"/>
              <w:left w:val="single" w:sz="8" w:space="0" w:color="auto"/>
              <w:bottom w:val="single" w:sz="4" w:space="0" w:color="auto"/>
              <w:right w:val="single" w:sz="4" w:space="0" w:color="auto"/>
            </w:tcBorders>
            <w:shd w:val="clear" w:color="auto" w:fill="auto"/>
            <w:noWrap/>
            <w:vAlign w:val="bottom"/>
            <w:hideMark/>
          </w:tcPr>
          <w:p w:rsidR="00B52AAC" w:rsidRPr="00F75EF6" w:rsidRDefault="00B52AAC" w:rsidP="0036425A">
            <w:pPr>
              <w:rPr>
                <w:rFonts w:ascii="Verdana" w:hAnsi="Verdana" w:cs="Arial"/>
                <w:sz w:val="16"/>
                <w:szCs w:val="16"/>
              </w:rPr>
            </w:pPr>
            <w:r w:rsidRPr="00F75EF6">
              <w:rPr>
                <w:rFonts w:ascii="Verdana" w:hAnsi="Verdana"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52AAC" w:rsidRPr="00F75EF6" w:rsidRDefault="00B52AAC" w:rsidP="0036425A">
            <w:pPr>
              <w:rPr>
                <w:rFonts w:ascii="Verdana" w:hAnsi="Verdana" w:cs="Arial"/>
                <w:sz w:val="16"/>
                <w:szCs w:val="16"/>
              </w:rPr>
            </w:pPr>
            <w:r w:rsidRPr="00F75EF6">
              <w:rPr>
                <w:rFonts w:ascii="Verdana" w:hAnsi="Verdana"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52AAC" w:rsidRPr="00F75EF6" w:rsidRDefault="00B52AAC" w:rsidP="0036425A">
            <w:pPr>
              <w:rPr>
                <w:rFonts w:ascii="Verdana" w:hAnsi="Verdana" w:cs="Arial"/>
                <w:sz w:val="16"/>
                <w:szCs w:val="16"/>
              </w:rPr>
            </w:pPr>
            <w:r w:rsidRPr="00F75EF6">
              <w:rPr>
                <w:rFonts w:ascii="Verdana" w:hAnsi="Verdana"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52AAC" w:rsidRPr="00F75EF6" w:rsidRDefault="00B52AAC" w:rsidP="0036425A">
            <w:pPr>
              <w:rPr>
                <w:rFonts w:ascii="Verdana" w:hAnsi="Verdana" w:cs="Arial"/>
                <w:sz w:val="16"/>
                <w:szCs w:val="16"/>
              </w:rPr>
            </w:pPr>
            <w:r w:rsidRPr="00F75EF6">
              <w:rPr>
                <w:rFonts w:ascii="Verdana" w:hAnsi="Verdana"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52AAC" w:rsidRPr="00F75EF6" w:rsidRDefault="00B52AAC" w:rsidP="0036425A">
            <w:pPr>
              <w:rPr>
                <w:rFonts w:ascii="Verdana" w:hAnsi="Verdana" w:cs="Arial"/>
                <w:sz w:val="16"/>
                <w:szCs w:val="16"/>
              </w:rPr>
            </w:pPr>
            <w:r w:rsidRPr="00F75EF6">
              <w:rPr>
                <w:rFonts w:ascii="Verdana" w:hAnsi="Verdana" w:cs="Arial"/>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B52AAC" w:rsidRPr="00F75EF6" w:rsidRDefault="00B52AAC" w:rsidP="0036425A">
            <w:pPr>
              <w:rPr>
                <w:rFonts w:ascii="Verdana" w:hAnsi="Verdana" w:cs="Arial"/>
                <w:sz w:val="16"/>
                <w:szCs w:val="16"/>
              </w:rPr>
            </w:pPr>
            <w:r w:rsidRPr="00F75EF6">
              <w:rPr>
                <w:rFonts w:ascii="Verdana" w:hAnsi="Verdana"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B52AAC" w:rsidRPr="00F75EF6" w:rsidRDefault="00B52AAC" w:rsidP="0036425A">
            <w:pPr>
              <w:rPr>
                <w:rFonts w:ascii="Verdana" w:hAnsi="Verdana" w:cs="Arial"/>
                <w:sz w:val="16"/>
                <w:szCs w:val="16"/>
              </w:rPr>
            </w:pPr>
            <w:r w:rsidRPr="00F75EF6">
              <w:rPr>
                <w:rFonts w:ascii="Verdana" w:hAnsi="Verdana"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B52AAC" w:rsidRPr="00F75EF6" w:rsidRDefault="00B52AAC" w:rsidP="0036425A">
            <w:pPr>
              <w:rPr>
                <w:rFonts w:ascii="Verdana" w:hAnsi="Verdana" w:cs="Arial"/>
                <w:sz w:val="16"/>
                <w:szCs w:val="16"/>
              </w:rPr>
            </w:pPr>
            <w:r w:rsidRPr="00F75EF6">
              <w:rPr>
                <w:rFonts w:ascii="Verdana" w:hAnsi="Verdana" w:cs="Arial"/>
                <w:sz w:val="16"/>
                <w:szCs w:val="16"/>
              </w:rPr>
              <w:t> </w:t>
            </w:r>
          </w:p>
        </w:tc>
        <w:tc>
          <w:tcPr>
            <w:tcW w:w="777" w:type="dxa"/>
            <w:tcBorders>
              <w:top w:val="nil"/>
              <w:left w:val="nil"/>
              <w:bottom w:val="single" w:sz="4" w:space="0" w:color="auto"/>
              <w:right w:val="single" w:sz="4" w:space="0" w:color="auto"/>
            </w:tcBorders>
            <w:shd w:val="clear" w:color="auto" w:fill="auto"/>
            <w:noWrap/>
            <w:vAlign w:val="bottom"/>
            <w:hideMark/>
          </w:tcPr>
          <w:p w:rsidR="00B52AAC" w:rsidRPr="00F75EF6" w:rsidRDefault="00B52AAC" w:rsidP="0036425A">
            <w:pPr>
              <w:rPr>
                <w:rFonts w:ascii="Verdana" w:hAnsi="Verdana" w:cs="Arial"/>
                <w:sz w:val="16"/>
                <w:szCs w:val="16"/>
              </w:rPr>
            </w:pPr>
            <w:r w:rsidRPr="00F75EF6">
              <w:rPr>
                <w:rFonts w:ascii="Verdana" w:hAnsi="Verdana" w:cs="Arial"/>
                <w:sz w:val="16"/>
                <w:szCs w:val="16"/>
              </w:rPr>
              <w:t> </w:t>
            </w:r>
          </w:p>
        </w:tc>
      </w:tr>
      <w:tr w:rsidR="00B52AAC" w:rsidRPr="0015646E" w:rsidTr="00B36A0E">
        <w:trPr>
          <w:trHeight w:val="402"/>
        </w:trPr>
        <w:tc>
          <w:tcPr>
            <w:tcW w:w="1913" w:type="dxa"/>
            <w:tcBorders>
              <w:top w:val="nil"/>
              <w:left w:val="single" w:sz="8" w:space="0" w:color="auto"/>
              <w:bottom w:val="single" w:sz="4" w:space="0" w:color="auto"/>
              <w:right w:val="single" w:sz="4" w:space="0" w:color="auto"/>
            </w:tcBorders>
            <w:shd w:val="clear" w:color="auto" w:fill="auto"/>
            <w:noWrap/>
            <w:vAlign w:val="center"/>
            <w:hideMark/>
          </w:tcPr>
          <w:p w:rsidR="00B52AAC" w:rsidRPr="00F75EF6" w:rsidRDefault="00B52AAC" w:rsidP="0036425A">
            <w:pPr>
              <w:rPr>
                <w:rFonts w:ascii="Verdana" w:hAnsi="Verdana" w:cs="Arial"/>
                <w:bCs/>
                <w:sz w:val="16"/>
                <w:szCs w:val="16"/>
              </w:rPr>
            </w:pPr>
            <w:r w:rsidRPr="00F75EF6">
              <w:rPr>
                <w:rFonts w:ascii="Verdana" w:hAnsi="Verdana" w:cs="Arial"/>
                <w:bCs/>
                <w:sz w:val="16"/>
                <w:szCs w:val="16"/>
              </w:rPr>
              <w:t>Altro commercio specializzato</w:t>
            </w:r>
          </w:p>
        </w:tc>
        <w:tc>
          <w:tcPr>
            <w:tcW w:w="1134"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50</w:t>
            </w:r>
          </w:p>
        </w:tc>
        <w:tc>
          <w:tcPr>
            <w:tcW w:w="1134"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23</w:t>
            </w:r>
          </w:p>
        </w:tc>
        <w:tc>
          <w:tcPr>
            <w:tcW w:w="1134"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31</w:t>
            </w:r>
          </w:p>
        </w:tc>
        <w:tc>
          <w:tcPr>
            <w:tcW w:w="992"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25</w:t>
            </w:r>
          </w:p>
        </w:tc>
        <w:tc>
          <w:tcPr>
            <w:tcW w:w="993"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4</w:t>
            </w: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rsidR="00B52AAC" w:rsidRPr="00F75EF6" w:rsidRDefault="00B52AAC" w:rsidP="0036425A">
            <w:pPr>
              <w:jc w:val="center"/>
              <w:rPr>
                <w:rFonts w:ascii="Verdana" w:hAnsi="Verdana" w:cs="Arial"/>
                <w:b/>
                <w:bCs/>
                <w:sz w:val="16"/>
                <w:szCs w:val="16"/>
              </w:rPr>
            </w:pPr>
            <w:r w:rsidRPr="00F75EF6">
              <w:rPr>
                <w:rFonts w:ascii="Verdana" w:hAnsi="Verdana" w:cs="Arial"/>
                <w:b/>
                <w:bCs/>
                <w:sz w:val="16"/>
                <w:szCs w:val="16"/>
              </w:rPr>
              <w:t>133</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B52AAC" w:rsidRPr="00F75EF6" w:rsidRDefault="00B52AAC" w:rsidP="0036425A">
            <w:pPr>
              <w:jc w:val="center"/>
              <w:rPr>
                <w:rFonts w:ascii="Verdana" w:hAnsi="Verdana" w:cs="Arial"/>
                <w:b/>
                <w:bCs/>
                <w:sz w:val="16"/>
                <w:szCs w:val="16"/>
              </w:rPr>
            </w:pPr>
            <w:r w:rsidRPr="00F75EF6">
              <w:rPr>
                <w:rFonts w:ascii="Verdana" w:hAnsi="Verdana" w:cs="Arial"/>
                <w:b/>
                <w:bCs/>
                <w:sz w:val="16"/>
                <w:szCs w:val="16"/>
              </w:rPr>
              <w:t>126</w:t>
            </w:r>
          </w:p>
        </w:tc>
        <w:tc>
          <w:tcPr>
            <w:tcW w:w="777"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
                <w:bCs/>
                <w:sz w:val="16"/>
                <w:szCs w:val="16"/>
              </w:rPr>
            </w:pPr>
            <w:r w:rsidRPr="00F75EF6">
              <w:rPr>
                <w:rFonts w:ascii="Verdana" w:hAnsi="Verdana" w:cs="Arial"/>
                <w:b/>
                <w:bCs/>
                <w:sz w:val="16"/>
                <w:szCs w:val="16"/>
              </w:rPr>
              <w:t>+ 7</w:t>
            </w:r>
          </w:p>
        </w:tc>
      </w:tr>
      <w:tr w:rsidR="00B52AAC" w:rsidRPr="0015646E" w:rsidTr="00B36A0E">
        <w:trPr>
          <w:trHeight w:val="402"/>
        </w:trPr>
        <w:tc>
          <w:tcPr>
            <w:tcW w:w="1913" w:type="dxa"/>
            <w:tcBorders>
              <w:top w:val="nil"/>
              <w:left w:val="single" w:sz="8" w:space="0" w:color="auto"/>
              <w:bottom w:val="single" w:sz="4" w:space="0" w:color="auto"/>
              <w:right w:val="single" w:sz="4" w:space="0" w:color="auto"/>
            </w:tcBorders>
            <w:shd w:val="clear" w:color="auto" w:fill="auto"/>
            <w:noWrap/>
            <w:vAlign w:val="center"/>
            <w:hideMark/>
          </w:tcPr>
          <w:p w:rsidR="00B52AAC" w:rsidRPr="00F75EF6" w:rsidRDefault="00B52AAC" w:rsidP="0036425A">
            <w:pPr>
              <w:rPr>
                <w:rFonts w:ascii="Verdana" w:hAnsi="Verdana" w:cs="Arial"/>
                <w:bCs/>
                <w:sz w:val="16"/>
                <w:szCs w:val="16"/>
              </w:rPr>
            </w:pPr>
            <w:r w:rsidRPr="00F75EF6">
              <w:rPr>
                <w:rFonts w:ascii="Verdana" w:hAnsi="Verdana" w:cs="Arial"/>
                <w:bCs/>
                <w:sz w:val="16"/>
                <w:szCs w:val="16"/>
              </w:rPr>
              <w:t>Articoli per la casa</w:t>
            </w:r>
          </w:p>
        </w:tc>
        <w:tc>
          <w:tcPr>
            <w:tcW w:w="1134"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7</w:t>
            </w:r>
          </w:p>
        </w:tc>
        <w:tc>
          <w:tcPr>
            <w:tcW w:w="1134"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8</w:t>
            </w:r>
          </w:p>
        </w:tc>
        <w:tc>
          <w:tcPr>
            <w:tcW w:w="992"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6</w:t>
            </w:r>
          </w:p>
        </w:tc>
        <w:tc>
          <w:tcPr>
            <w:tcW w:w="993"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2</w:t>
            </w: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rsidR="00B52AAC" w:rsidRPr="00F75EF6" w:rsidRDefault="00B52AAC" w:rsidP="0036425A">
            <w:pPr>
              <w:jc w:val="center"/>
              <w:rPr>
                <w:rFonts w:ascii="Verdana" w:hAnsi="Verdana" w:cs="Arial"/>
                <w:b/>
                <w:bCs/>
                <w:sz w:val="16"/>
                <w:szCs w:val="16"/>
              </w:rPr>
            </w:pPr>
            <w:r w:rsidRPr="00F75EF6">
              <w:rPr>
                <w:rFonts w:ascii="Verdana" w:hAnsi="Verdana" w:cs="Arial"/>
                <w:b/>
                <w:bCs/>
                <w:sz w:val="16"/>
                <w:szCs w:val="16"/>
              </w:rPr>
              <w:t>41</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B52AAC" w:rsidRPr="00F75EF6" w:rsidRDefault="00B52AAC" w:rsidP="0036425A">
            <w:pPr>
              <w:jc w:val="center"/>
              <w:rPr>
                <w:rFonts w:ascii="Verdana" w:hAnsi="Verdana" w:cs="Arial"/>
                <w:b/>
                <w:bCs/>
                <w:sz w:val="16"/>
                <w:szCs w:val="16"/>
              </w:rPr>
            </w:pPr>
            <w:r w:rsidRPr="00F75EF6">
              <w:rPr>
                <w:rFonts w:ascii="Verdana" w:hAnsi="Verdana" w:cs="Arial"/>
                <w:b/>
                <w:bCs/>
                <w:sz w:val="16"/>
                <w:szCs w:val="16"/>
              </w:rPr>
              <w:t>37</w:t>
            </w:r>
          </w:p>
        </w:tc>
        <w:tc>
          <w:tcPr>
            <w:tcW w:w="777"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
                <w:bCs/>
                <w:sz w:val="16"/>
                <w:szCs w:val="16"/>
              </w:rPr>
            </w:pPr>
            <w:r w:rsidRPr="00F75EF6">
              <w:rPr>
                <w:rFonts w:ascii="Verdana" w:hAnsi="Verdana" w:cs="Arial"/>
                <w:b/>
                <w:bCs/>
                <w:sz w:val="16"/>
                <w:szCs w:val="16"/>
              </w:rPr>
              <w:t>+ 4</w:t>
            </w:r>
          </w:p>
        </w:tc>
      </w:tr>
      <w:tr w:rsidR="00B52AAC" w:rsidRPr="0015646E" w:rsidTr="00B36A0E">
        <w:trPr>
          <w:trHeight w:val="402"/>
        </w:trPr>
        <w:tc>
          <w:tcPr>
            <w:tcW w:w="1913" w:type="dxa"/>
            <w:tcBorders>
              <w:top w:val="nil"/>
              <w:left w:val="single" w:sz="8" w:space="0" w:color="auto"/>
              <w:bottom w:val="single" w:sz="4" w:space="0" w:color="auto"/>
              <w:right w:val="single" w:sz="4" w:space="0" w:color="auto"/>
            </w:tcBorders>
            <w:shd w:val="clear" w:color="auto" w:fill="auto"/>
            <w:noWrap/>
            <w:vAlign w:val="center"/>
            <w:hideMark/>
          </w:tcPr>
          <w:p w:rsidR="00B52AAC" w:rsidRPr="00F75EF6" w:rsidRDefault="00B52AAC" w:rsidP="0036425A">
            <w:pPr>
              <w:rPr>
                <w:rFonts w:ascii="Verdana" w:hAnsi="Verdana" w:cs="Arial"/>
                <w:bCs/>
                <w:sz w:val="16"/>
                <w:szCs w:val="16"/>
              </w:rPr>
            </w:pPr>
            <w:r w:rsidRPr="00F75EF6">
              <w:rPr>
                <w:rFonts w:ascii="Verdana" w:hAnsi="Verdana" w:cs="Arial"/>
                <w:bCs/>
                <w:sz w:val="16"/>
                <w:szCs w:val="16"/>
              </w:rPr>
              <w:t>Articoli per la persona</w:t>
            </w:r>
          </w:p>
        </w:tc>
        <w:tc>
          <w:tcPr>
            <w:tcW w:w="1134"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71</w:t>
            </w:r>
          </w:p>
        </w:tc>
        <w:tc>
          <w:tcPr>
            <w:tcW w:w="1134"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36</w:t>
            </w:r>
          </w:p>
        </w:tc>
        <w:tc>
          <w:tcPr>
            <w:tcW w:w="1134"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38</w:t>
            </w:r>
          </w:p>
        </w:tc>
        <w:tc>
          <w:tcPr>
            <w:tcW w:w="992"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57</w:t>
            </w:r>
          </w:p>
        </w:tc>
        <w:tc>
          <w:tcPr>
            <w:tcW w:w="993"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12</w:t>
            </w: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rsidR="00B52AAC" w:rsidRPr="00F75EF6" w:rsidRDefault="00B52AAC" w:rsidP="0036425A">
            <w:pPr>
              <w:jc w:val="center"/>
              <w:rPr>
                <w:rFonts w:ascii="Verdana" w:hAnsi="Verdana" w:cs="Arial"/>
                <w:b/>
                <w:bCs/>
                <w:sz w:val="16"/>
                <w:szCs w:val="16"/>
              </w:rPr>
            </w:pPr>
            <w:r w:rsidRPr="00F75EF6">
              <w:rPr>
                <w:rFonts w:ascii="Verdana" w:hAnsi="Verdana" w:cs="Arial"/>
                <w:b/>
                <w:bCs/>
                <w:sz w:val="16"/>
                <w:szCs w:val="16"/>
              </w:rPr>
              <w:t>214</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B52AAC" w:rsidRPr="00F75EF6" w:rsidRDefault="00B52AAC" w:rsidP="0036425A">
            <w:pPr>
              <w:jc w:val="center"/>
              <w:rPr>
                <w:rFonts w:ascii="Verdana" w:hAnsi="Verdana" w:cs="Arial"/>
                <w:b/>
                <w:bCs/>
                <w:sz w:val="16"/>
                <w:szCs w:val="16"/>
              </w:rPr>
            </w:pPr>
            <w:r w:rsidRPr="00F75EF6">
              <w:rPr>
                <w:rFonts w:ascii="Verdana" w:hAnsi="Verdana" w:cs="Arial"/>
                <w:b/>
                <w:bCs/>
                <w:sz w:val="16"/>
                <w:szCs w:val="16"/>
              </w:rPr>
              <w:t>231</w:t>
            </w:r>
          </w:p>
        </w:tc>
        <w:tc>
          <w:tcPr>
            <w:tcW w:w="777"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
                <w:bCs/>
                <w:sz w:val="16"/>
                <w:szCs w:val="16"/>
              </w:rPr>
            </w:pPr>
            <w:r w:rsidRPr="00F75EF6">
              <w:rPr>
                <w:rFonts w:ascii="Verdana" w:hAnsi="Verdana" w:cs="Arial"/>
                <w:b/>
                <w:bCs/>
                <w:sz w:val="16"/>
                <w:szCs w:val="16"/>
              </w:rPr>
              <w:t>- 17</w:t>
            </w:r>
          </w:p>
        </w:tc>
      </w:tr>
      <w:tr w:rsidR="00B52AAC" w:rsidRPr="0015646E" w:rsidTr="00B36A0E">
        <w:trPr>
          <w:trHeight w:val="402"/>
        </w:trPr>
        <w:tc>
          <w:tcPr>
            <w:tcW w:w="1913" w:type="dxa"/>
            <w:tcBorders>
              <w:top w:val="nil"/>
              <w:left w:val="single" w:sz="8" w:space="0" w:color="auto"/>
              <w:bottom w:val="single" w:sz="4" w:space="0" w:color="auto"/>
              <w:right w:val="single" w:sz="4" w:space="0" w:color="auto"/>
            </w:tcBorders>
            <w:shd w:val="clear" w:color="auto" w:fill="auto"/>
            <w:noWrap/>
            <w:vAlign w:val="center"/>
            <w:hideMark/>
          </w:tcPr>
          <w:p w:rsidR="00B52AAC" w:rsidRPr="00F75EF6" w:rsidRDefault="00B52AAC" w:rsidP="0036425A">
            <w:pPr>
              <w:rPr>
                <w:rFonts w:ascii="Verdana" w:hAnsi="Verdana" w:cs="Arial"/>
                <w:bCs/>
                <w:sz w:val="16"/>
                <w:szCs w:val="16"/>
              </w:rPr>
            </w:pPr>
            <w:r w:rsidRPr="00F75EF6">
              <w:rPr>
                <w:rFonts w:ascii="Verdana" w:hAnsi="Verdana" w:cs="Arial"/>
                <w:bCs/>
                <w:sz w:val="16"/>
                <w:szCs w:val="16"/>
              </w:rPr>
              <w:t>Commercio alimentare specializzato</w:t>
            </w:r>
          </w:p>
        </w:tc>
        <w:tc>
          <w:tcPr>
            <w:tcW w:w="1134"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8</w:t>
            </w:r>
          </w:p>
        </w:tc>
        <w:tc>
          <w:tcPr>
            <w:tcW w:w="992"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7</w:t>
            </w:r>
          </w:p>
        </w:tc>
        <w:tc>
          <w:tcPr>
            <w:tcW w:w="993"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0</w:t>
            </w: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rsidR="00B52AAC" w:rsidRPr="00F75EF6" w:rsidRDefault="00B52AAC" w:rsidP="0036425A">
            <w:pPr>
              <w:jc w:val="center"/>
              <w:rPr>
                <w:rFonts w:ascii="Verdana" w:hAnsi="Verdana" w:cs="Arial"/>
                <w:b/>
                <w:bCs/>
                <w:sz w:val="16"/>
                <w:szCs w:val="16"/>
              </w:rPr>
            </w:pPr>
            <w:r w:rsidRPr="00F75EF6">
              <w:rPr>
                <w:rFonts w:ascii="Verdana" w:hAnsi="Verdana" w:cs="Arial"/>
                <w:b/>
                <w:bCs/>
                <w:sz w:val="16"/>
                <w:szCs w:val="16"/>
              </w:rPr>
              <w:t>38</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B52AAC" w:rsidRPr="00F75EF6" w:rsidRDefault="00B52AAC" w:rsidP="0036425A">
            <w:pPr>
              <w:jc w:val="center"/>
              <w:rPr>
                <w:rFonts w:ascii="Verdana" w:hAnsi="Verdana" w:cs="Arial"/>
                <w:b/>
                <w:bCs/>
                <w:sz w:val="16"/>
                <w:szCs w:val="16"/>
              </w:rPr>
            </w:pPr>
            <w:r w:rsidRPr="00F75EF6">
              <w:rPr>
                <w:rFonts w:ascii="Verdana" w:hAnsi="Verdana" w:cs="Arial"/>
                <w:b/>
                <w:bCs/>
                <w:sz w:val="16"/>
                <w:szCs w:val="16"/>
              </w:rPr>
              <w:t>46</w:t>
            </w:r>
          </w:p>
        </w:tc>
        <w:tc>
          <w:tcPr>
            <w:tcW w:w="777"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
                <w:bCs/>
                <w:sz w:val="16"/>
                <w:szCs w:val="16"/>
              </w:rPr>
            </w:pPr>
            <w:r w:rsidRPr="00F75EF6">
              <w:rPr>
                <w:rFonts w:ascii="Verdana" w:hAnsi="Verdana" w:cs="Arial"/>
                <w:b/>
                <w:bCs/>
                <w:sz w:val="16"/>
                <w:szCs w:val="16"/>
              </w:rPr>
              <w:t>- 8</w:t>
            </w:r>
          </w:p>
        </w:tc>
      </w:tr>
      <w:tr w:rsidR="00B52AAC" w:rsidRPr="0015646E" w:rsidTr="00B36A0E">
        <w:trPr>
          <w:trHeight w:val="402"/>
        </w:trPr>
        <w:tc>
          <w:tcPr>
            <w:tcW w:w="1913" w:type="dxa"/>
            <w:tcBorders>
              <w:top w:val="nil"/>
              <w:left w:val="single" w:sz="8" w:space="0" w:color="auto"/>
              <w:bottom w:val="single" w:sz="4" w:space="0" w:color="auto"/>
              <w:right w:val="single" w:sz="4" w:space="0" w:color="auto"/>
            </w:tcBorders>
            <w:shd w:val="clear" w:color="auto" w:fill="auto"/>
            <w:noWrap/>
            <w:vAlign w:val="center"/>
            <w:hideMark/>
          </w:tcPr>
          <w:p w:rsidR="00B52AAC" w:rsidRPr="00F75EF6" w:rsidRDefault="00B52AAC" w:rsidP="0036425A">
            <w:pPr>
              <w:rPr>
                <w:rFonts w:ascii="Verdana" w:hAnsi="Verdana" w:cs="Arial"/>
                <w:bCs/>
                <w:sz w:val="16"/>
                <w:szCs w:val="16"/>
              </w:rPr>
            </w:pPr>
            <w:r w:rsidRPr="00F75EF6">
              <w:rPr>
                <w:rFonts w:ascii="Verdana" w:hAnsi="Verdana" w:cs="Arial"/>
                <w:bCs/>
                <w:sz w:val="16"/>
                <w:szCs w:val="16"/>
              </w:rPr>
              <w:t>Commercio non specializzato</w:t>
            </w:r>
          </w:p>
        </w:tc>
        <w:tc>
          <w:tcPr>
            <w:tcW w:w="1134"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11</w:t>
            </w:r>
          </w:p>
        </w:tc>
        <w:tc>
          <w:tcPr>
            <w:tcW w:w="1134"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1</w:t>
            </w: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rsidR="00B52AAC" w:rsidRPr="00F75EF6" w:rsidRDefault="00B52AAC" w:rsidP="0036425A">
            <w:pPr>
              <w:jc w:val="center"/>
              <w:rPr>
                <w:rFonts w:ascii="Verdana" w:hAnsi="Verdana" w:cs="Arial"/>
                <w:b/>
                <w:bCs/>
                <w:sz w:val="16"/>
                <w:szCs w:val="16"/>
              </w:rPr>
            </w:pPr>
            <w:r w:rsidRPr="00F75EF6">
              <w:rPr>
                <w:rFonts w:ascii="Verdana" w:hAnsi="Verdana" w:cs="Arial"/>
                <w:b/>
                <w:bCs/>
                <w:sz w:val="16"/>
                <w:szCs w:val="16"/>
              </w:rPr>
              <w:t>29</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B52AAC" w:rsidRPr="00F75EF6" w:rsidRDefault="00B52AAC" w:rsidP="0036425A">
            <w:pPr>
              <w:jc w:val="center"/>
              <w:rPr>
                <w:rFonts w:ascii="Verdana" w:hAnsi="Verdana" w:cs="Arial"/>
                <w:b/>
                <w:bCs/>
                <w:sz w:val="16"/>
                <w:szCs w:val="16"/>
              </w:rPr>
            </w:pPr>
            <w:r w:rsidRPr="00F75EF6">
              <w:rPr>
                <w:rFonts w:ascii="Verdana" w:hAnsi="Verdana" w:cs="Arial"/>
                <w:b/>
                <w:bCs/>
                <w:sz w:val="16"/>
                <w:szCs w:val="16"/>
              </w:rPr>
              <w:t>28</w:t>
            </w:r>
          </w:p>
        </w:tc>
        <w:tc>
          <w:tcPr>
            <w:tcW w:w="777"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
                <w:bCs/>
                <w:sz w:val="16"/>
                <w:szCs w:val="16"/>
              </w:rPr>
            </w:pPr>
            <w:r w:rsidRPr="00F75EF6">
              <w:rPr>
                <w:rFonts w:ascii="Verdana" w:hAnsi="Verdana" w:cs="Arial"/>
                <w:b/>
                <w:bCs/>
                <w:sz w:val="16"/>
                <w:szCs w:val="16"/>
              </w:rPr>
              <w:t>+ 1</w:t>
            </w:r>
          </w:p>
        </w:tc>
      </w:tr>
      <w:tr w:rsidR="00B52AAC" w:rsidRPr="0015646E" w:rsidTr="00B36A0E">
        <w:trPr>
          <w:trHeight w:val="402"/>
        </w:trPr>
        <w:tc>
          <w:tcPr>
            <w:tcW w:w="1913" w:type="dxa"/>
            <w:tcBorders>
              <w:top w:val="nil"/>
              <w:left w:val="single" w:sz="8" w:space="0" w:color="auto"/>
              <w:bottom w:val="single" w:sz="4" w:space="0" w:color="auto"/>
              <w:right w:val="single" w:sz="4" w:space="0" w:color="auto"/>
            </w:tcBorders>
            <w:shd w:val="clear" w:color="auto" w:fill="auto"/>
            <w:noWrap/>
            <w:vAlign w:val="center"/>
            <w:hideMark/>
          </w:tcPr>
          <w:p w:rsidR="00B52AAC" w:rsidRPr="00F75EF6" w:rsidRDefault="00B52AAC" w:rsidP="0036425A">
            <w:pPr>
              <w:rPr>
                <w:rFonts w:ascii="Verdana" w:hAnsi="Verdana" w:cs="Arial"/>
                <w:bCs/>
                <w:sz w:val="16"/>
                <w:szCs w:val="16"/>
              </w:rPr>
            </w:pPr>
            <w:r w:rsidRPr="00F75EF6">
              <w:rPr>
                <w:rFonts w:ascii="Verdana" w:hAnsi="Verdana" w:cs="Arial"/>
                <w:bCs/>
                <w:sz w:val="16"/>
                <w:szCs w:val="16"/>
              </w:rPr>
              <w:t>Servizi</w:t>
            </w:r>
          </w:p>
        </w:tc>
        <w:tc>
          <w:tcPr>
            <w:tcW w:w="1134"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173</w:t>
            </w:r>
          </w:p>
        </w:tc>
        <w:tc>
          <w:tcPr>
            <w:tcW w:w="1134"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107</w:t>
            </w:r>
          </w:p>
        </w:tc>
        <w:tc>
          <w:tcPr>
            <w:tcW w:w="992"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80</w:t>
            </w:r>
          </w:p>
        </w:tc>
        <w:tc>
          <w:tcPr>
            <w:tcW w:w="993"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15</w:t>
            </w: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rsidR="00B52AAC" w:rsidRPr="00F75EF6" w:rsidRDefault="00B52AAC" w:rsidP="0036425A">
            <w:pPr>
              <w:jc w:val="center"/>
              <w:rPr>
                <w:rFonts w:ascii="Verdana" w:hAnsi="Verdana" w:cs="Arial"/>
                <w:b/>
                <w:bCs/>
                <w:sz w:val="16"/>
                <w:szCs w:val="16"/>
              </w:rPr>
            </w:pPr>
            <w:r w:rsidRPr="00F75EF6">
              <w:rPr>
                <w:rFonts w:ascii="Verdana" w:hAnsi="Verdana" w:cs="Arial"/>
                <w:b/>
                <w:bCs/>
                <w:sz w:val="16"/>
                <w:szCs w:val="16"/>
              </w:rPr>
              <w:t>475</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B52AAC" w:rsidRPr="00F75EF6" w:rsidRDefault="00B52AAC" w:rsidP="0036425A">
            <w:pPr>
              <w:jc w:val="center"/>
              <w:rPr>
                <w:rFonts w:ascii="Verdana" w:hAnsi="Verdana" w:cs="Arial"/>
                <w:b/>
                <w:bCs/>
                <w:sz w:val="16"/>
                <w:szCs w:val="16"/>
              </w:rPr>
            </w:pPr>
            <w:r w:rsidRPr="00F75EF6">
              <w:rPr>
                <w:rFonts w:ascii="Verdana" w:hAnsi="Verdana" w:cs="Arial"/>
                <w:b/>
                <w:bCs/>
                <w:sz w:val="16"/>
                <w:szCs w:val="16"/>
              </w:rPr>
              <w:t>461</w:t>
            </w:r>
          </w:p>
        </w:tc>
        <w:tc>
          <w:tcPr>
            <w:tcW w:w="777"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
                <w:bCs/>
                <w:sz w:val="16"/>
                <w:szCs w:val="16"/>
              </w:rPr>
            </w:pPr>
            <w:r w:rsidRPr="00F75EF6">
              <w:rPr>
                <w:rFonts w:ascii="Verdana" w:hAnsi="Verdana" w:cs="Arial"/>
                <w:b/>
                <w:bCs/>
                <w:sz w:val="16"/>
                <w:szCs w:val="16"/>
              </w:rPr>
              <w:t>+ 14</w:t>
            </w:r>
          </w:p>
        </w:tc>
      </w:tr>
      <w:tr w:rsidR="00B52AAC" w:rsidRPr="0015646E" w:rsidTr="00B36A0E">
        <w:trPr>
          <w:trHeight w:val="402"/>
        </w:trPr>
        <w:tc>
          <w:tcPr>
            <w:tcW w:w="1913" w:type="dxa"/>
            <w:tcBorders>
              <w:top w:val="nil"/>
              <w:left w:val="single" w:sz="8" w:space="0" w:color="auto"/>
              <w:bottom w:val="single" w:sz="4" w:space="0" w:color="auto"/>
              <w:right w:val="single" w:sz="4" w:space="0" w:color="auto"/>
            </w:tcBorders>
            <w:shd w:val="clear" w:color="auto" w:fill="auto"/>
            <w:noWrap/>
            <w:vAlign w:val="center"/>
            <w:hideMark/>
          </w:tcPr>
          <w:p w:rsidR="00B52AAC" w:rsidRPr="00F75EF6" w:rsidRDefault="00B52AAC" w:rsidP="0036425A">
            <w:pPr>
              <w:rPr>
                <w:rFonts w:ascii="Verdana" w:hAnsi="Verdana" w:cs="Arial"/>
                <w:bCs/>
                <w:sz w:val="16"/>
                <w:szCs w:val="16"/>
              </w:rPr>
            </w:pPr>
            <w:r w:rsidRPr="00F75EF6">
              <w:rPr>
                <w:rFonts w:ascii="Verdana" w:hAnsi="Verdana" w:cs="Arial"/>
                <w:bCs/>
                <w:sz w:val="16"/>
                <w:szCs w:val="16"/>
              </w:rPr>
              <w:t>Costruzione e manutenzione</w:t>
            </w:r>
          </w:p>
        </w:tc>
        <w:tc>
          <w:tcPr>
            <w:tcW w:w="1134"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0</w:t>
            </w: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rsidR="00B52AAC" w:rsidRPr="00F75EF6" w:rsidRDefault="00B52AAC" w:rsidP="0036425A">
            <w:pPr>
              <w:jc w:val="center"/>
              <w:rPr>
                <w:rFonts w:ascii="Verdana" w:hAnsi="Verdana" w:cs="Arial"/>
                <w:b/>
                <w:bCs/>
                <w:sz w:val="16"/>
                <w:szCs w:val="16"/>
              </w:rPr>
            </w:pPr>
            <w:r w:rsidRPr="00F75EF6">
              <w:rPr>
                <w:rFonts w:ascii="Verdana" w:hAnsi="Verdana" w:cs="Arial"/>
                <w:b/>
                <w:bCs/>
                <w:sz w:val="16"/>
                <w:szCs w:val="16"/>
              </w:rPr>
              <w:t>9</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B52AAC" w:rsidRPr="00F75EF6" w:rsidRDefault="00B52AAC" w:rsidP="0036425A">
            <w:pPr>
              <w:jc w:val="center"/>
              <w:rPr>
                <w:rFonts w:ascii="Verdana" w:hAnsi="Verdana" w:cs="Arial"/>
                <w:b/>
                <w:bCs/>
                <w:sz w:val="16"/>
                <w:szCs w:val="16"/>
              </w:rPr>
            </w:pPr>
            <w:r w:rsidRPr="00F75EF6">
              <w:rPr>
                <w:rFonts w:ascii="Verdana" w:hAnsi="Verdana" w:cs="Arial"/>
                <w:b/>
                <w:bCs/>
                <w:sz w:val="16"/>
                <w:szCs w:val="16"/>
              </w:rPr>
              <w:t>9</w:t>
            </w:r>
          </w:p>
        </w:tc>
        <w:tc>
          <w:tcPr>
            <w:tcW w:w="777"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
                <w:bCs/>
                <w:sz w:val="16"/>
                <w:szCs w:val="16"/>
              </w:rPr>
            </w:pPr>
            <w:r w:rsidRPr="00F75EF6">
              <w:rPr>
                <w:rFonts w:ascii="Verdana" w:hAnsi="Verdana" w:cs="Arial"/>
                <w:b/>
                <w:bCs/>
                <w:sz w:val="16"/>
                <w:szCs w:val="16"/>
              </w:rPr>
              <w:t>-</w:t>
            </w:r>
          </w:p>
        </w:tc>
      </w:tr>
      <w:tr w:rsidR="00B52AAC" w:rsidRPr="0015646E" w:rsidTr="00B36A0E">
        <w:trPr>
          <w:trHeight w:val="402"/>
        </w:trPr>
        <w:tc>
          <w:tcPr>
            <w:tcW w:w="1913" w:type="dxa"/>
            <w:tcBorders>
              <w:top w:val="nil"/>
              <w:left w:val="single" w:sz="8" w:space="0" w:color="auto"/>
              <w:bottom w:val="single" w:sz="4" w:space="0" w:color="auto"/>
              <w:right w:val="single" w:sz="4" w:space="0" w:color="auto"/>
            </w:tcBorders>
            <w:shd w:val="clear" w:color="auto" w:fill="auto"/>
            <w:noWrap/>
            <w:vAlign w:val="center"/>
            <w:hideMark/>
          </w:tcPr>
          <w:p w:rsidR="00B52AAC" w:rsidRPr="00F75EF6" w:rsidRDefault="00B52AAC" w:rsidP="0036425A">
            <w:pPr>
              <w:rPr>
                <w:rFonts w:ascii="Verdana" w:hAnsi="Verdana" w:cs="Arial"/>
                <w:bCs/>
                <w:sz w:val="16"/>
                <w:szCs w:val="16"/>
              </w:rPr>
            </w:pPr>
            <w:r w:rsidRPr="00F75EF6">
              <w:rPr>
                <w:rFonts w:ascii="Verdana" w:hAnsi="Verdana" w:cs="Arial"/>
                <w:bCs/>
                <w:sz w:val="16"/>
                <w:szCs w:val="16"/>
              </w:rPr>
              <w:t>Industria</w:t>
            </w:r>
          </w:p>
        </w:tc>
        <w:tc>
          <w:tcPr>
            <w:tcW w:w="1134"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rPr>
                <w:rFonts w:ascii="Verdana" w:hAnsi="Verdana" w:cs="Arial"/>
                <w:bCs/>
                <w:sz w:val="16"/>
                <w:szCs w:val="16"/>
              </w:rPr>
            </w:pPr>
            <w:r w:rsidRPr="00F75EF6">
              <w:rPr>
                <w:rFonts w:ascii="Verdana" w:hAnsi="Verdana" w:cs="Arial"/>
                <w:bCs/>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0</w:t>
            </w:r>
          </w:p>
        </w:tc>
        <w:tc>
          <w:tcPr>
            <w:tcW w:w="993"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Cs/>
                <w:sz w:val="16"/>
                <w:szCs w:val="16"/>
              </w:rPr>
            </w:pPr>
            <w:r w:rsidRPr="00F75EF6">
              <w:rPr>
                <w:rFonts w:ascii="Verdana" w:hAnsi="Verdana" w:cs="Arial"/>
                <w:bCs/>
                <w:sz w:val="16"/>
                <w:szCs w:val="16"/>
              </w:rPr>
              <w:t>0</w:t>
            </w: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rsidR="00B52AAC" w:rsidRPr="00F75EF6" w:rsidRDefault="00B52AAC" w:rsidP="0036425A">
            <w:pPr>
              <w:jc w:val="center"/>
              <w:rPr>
                <w:rFonts w:ascii="Verdana" w:hAnsi="Verdana" w:cs="Arial"/>
                <w:b/>
                <w:bCs/>
                <w:sz w:val="16"/>
                <w:szCs w:val="16"/>
              </w:rPr>
            </w:pPr>
            <w:r w:rsidRPr="00F75EF6">
              <w:rPr>
                <w:rFonts w:ascii="Verdana" w:hAnsi="Verdana" w:cs="Arial"/>
                <w:b/>
                <w:bCs/>
                <w:sz w:val="16"/>
                <w:szCs w:val="16"/>
              </w:rPr>
              <w:t>0</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B52AAC" w:rsidRPr="00F75EF6" w:rsidRDefault="00B52AAC" w:rsidP="0036425A">
            <w:pPr>
              <w:jc w:val="center"/>
              <w:rPr>
                <w:rFonts w:ascii="Verdana" w:hAnsi="Verdana" w:cs="Arial"/>
                <w:b/>
                <w:bCs/>
                <w:sz w:val="16"/>
                <w:szCs w:val="16"/>
              </w:rPr>
            </w:pPr>
            <w:r w:rsidRPr="00F75EF6">
              <w:rPr>
                <w:rFonts w:ascii="Verdana" w:hAnsi="Verdana" w:cs="Arial"/>
                <w:b/>
                <w:bCs/>
                <w:sz w:val="16"/>
                <w:szCs w:val="16"/>
              </w:rPr>
              <w:t>0</w:t>
            </w:r>
          </w:p>
        </w:tc>
        <w:tc>
          <w:tcPr>
            <w:tcW w:w="777" w:type="dxa"/>
            <w:tcBorders>
              <w:top w:val="nil"/>
              <w:left w:val="nil"/>
              <w:bottom w:val="single" w:sz="4" w:space="0" w:color="auto"/>
              <w:right w:val="single" w:sz="4" w:space="0" w:color="auto"/>
            </w:tcBorders>
            <w:shd w:val="clear" w:color="auto" w:fill="auto"/>
            <w:noWrap/>
            <w:vAlign w:val="center"/>
            <w:hideMark/>
          </w:tcPr>
          <w:p w:rsidR="00B52AAC" w:rsidRPr="00F75EF6" w:rsidRDefault="00B52AAC" w:rsidP="0036425A">
            <w:pPr>
              <w:jc w:val="center"/>
              <w:rPr>
                <w:rFonts w:ascii="Verdana" w:hAnsi="Verdana" w:cs="Arial"/>
                <w:b/>
                <w:bCs/>
                <w:sz w:val="16"/>
                <w:szCs w:val="16"/>
              </w:rPr>
            </w:pPr>
            <w:r w:rsidRPr="00F75EF6">
              <w:rPr>
                <w:rFonts w:ascii="Verdana" w:hAnsi="Verdana" w:cs="Arial"/>
                <w:b/>
                <w:bCs/>
                <w:sz w:val="16"/>
                <w:szCs w:val="16"/>
              </w:rPr>
              <w:t>-</w:t>
            </w:r>
          </w:p>
        </w:tc>
      </w:tr>
      <w:tr w:rsidR="00B52AAC" w:rsidRPr="0015646E" w:rsidTr="00B36A0E">
        <w:trPr>
          <w:trHeight w:val="255"/>
        </w:trPr>
        <w:tc>
          <w:tcPr>
            <w:tcW w:w="1913" w:type="dxa"/>
            <w:tcBorders>
              <w:top w:val="single" w:sz="4" w:space="0" w:color="auto"/>
              <w:left w:val="single" w:sz="8" w:space="0" w:color="auto"/>
              <w:bottom w:val="single" w:sz="4" w:space="0" w:color="auto"/>
              <w:right w:val="single" w:sz="4" w:space="0" w:color="auto"/>
            </w:tcBorders>
            <w:shd w:val="clear" w:color="auto" w:fill="DFA312"/>
            <w:noWrap/>
            <w:vAlign w:val="bottom"/>
            <w:hideMark/>
          </w:tcPr>
          <w:p w:rsidR="00B52AAC" w:rsidRPr="00F75EF6" w:rsidRDefault="00B52AAC" w:rsidP="0036425A">
            <w:pPr>
              <w:jc w:val="center"/>
              <w:rPr>
                <w:rFonts w:ascii="Verdana" w:hAnsi="Verdana" w:cs="Arial"/>
                <w:b/>
                <w:sz w:val="16"/>
                <w:szCs w:val="16"/>
              </w:rPr>
            </w:pPr>
            <w:r w:rsidRPr="00F75EF6">
              <w:rPr>
                <w:rFonts w:ascii="Verdana" w:hAnsi="Verdana" w:cs="Arial"/>
                <w:b/>
                <w:sz w:val="16"/>
                <w:szCs w:val="16"/>
              </w:rPr>
              <w:t>TOTALE</w:t>
            </w:r>
          </w:p>
        </w:tc>
        <w:tc>
          <w:tcPr>
            <w:tcW w:w="1134" w:type="dxa"/>
            <w:tcBorders>
              <w:top w:val="single" w:sz="4" w:space="0" w:color="auto"/>
              <w:left w:val="nil"/>
              <w:bottom w:val="single" w:sz="4" w:space="0" w:color="auto"/>
              <w:right w:val="single" w:sz="4" w:space="0" w:color="auto"/>
            </w:tcBorders>
            <w:shd w:val="clear" w:color="auto" w:fill="DFA312"/>
            <w:noWrap/>
            <w:vAlign w:val="bottom"/>
            <w:hideMark/>
          </w:tcPr>
          <w:p w:rsidR="00B52AAC" w:rsidRPr="00F75EF6" w:rsidRDefault="00B52AAC" w:rsidP="0036425A">
            <w:pPr>
              <w:jc w:val="center"/>
              <w:rPr>
                <w:rFonts w:ascii="Verdana" w:hAnsi="Verdana" w:cs="Arial"/>
                <w:b/>
                <w:sz w:val="16"/>
                <w:szCs w:val="16"/>
              </w:rPr>
            </w:pPr>
            <w:r w:rsidRPr="00F75EF6">
              <w:rPr>
                <w:rFonts w:ascii="Verdana" w:hAnsi="Verdana" w:cs="Arial"/>
                <w:b/>
                <w:sz w:val="16"/>
                <w:szCs w:val="16"/>
              </w:rPr>
              <w:t>338</w:t>
            </w:r>
          </w:p>
        </w:tc>
        <w:tc>
          <w:tcPr>
            <w:tcW w:w="1134" w:type="dxa"/>
            <w:tcBorders>
              <w:top w:val="single" w:sz="4" w:space="0" w:color="auto"/>
              <w:left w:val="nil"/>
              <w:bottom w:val="single" w:sz="4" w:space="0" w:color="auto"/>
              <w:right w:val="single" w:sz="4" w:space="0" w:color="auto"/>
            </w:tcBorders>
            <w:shd w:val="clear" w:color="auto" w:fill="DFA312"/>
            <w:noWrap/>
            <w:vAlign w:val="bottom"/>
            <w:hideMark/>
          </w:tcPr>
          <w:p w:rsidR="00B52AAC" w:rsidRPr="00F75EF6" w:rsidRDefault="00B52AAC" w:rsidP="0036425A">
            <w:pPr>
              <w:jc w:val="center"/>
              <w:rPr>
                <w:rFonts w:ascii="Verdana" w:hAnsi="Verdana" w:cs="Arial"/>
                <w:b/>
                <w:sz w:val="16"/>
                <w:szCs w:val="16"/>
              </w:rPr>
            </w:pPr>
            <w:r w:rsidRPr="00F75EF6">
              <w:rPr>
                <w:rFonts w:ascii="Verdana" w:hAnsi="Verdana" w:cs="Arial"/>
                <w:b/>
                <w:sz w:val="16"/>
                <w:szCs w:val="16"/>
              </w:rPr>
              <w:t>188</w:t>
            </w:r>
          </w:p>
        </w:tc>
        <w:tc>
          <w:tcPr>
            <w:tcW w:w="1134" w:type="dxa"/>
            <w:tcBorders>
              <w:top w:val="single" w:sz="4" w:space="0" w:color="auto"/>
              <w:left w:val="nil"/>
              <w:bottom w:val="single" w:sz="4" w:space="0" w:color="auto"/>
              <w:right w:val="single" w:sz="4" w:space="0" w:color="auto"/>
            </w:tcBorders>
            <w:shd w:val="clear" w:color="auto" w:fill="DFA312"/>
            <w:noWrap/>
            <w:vAlign w:val="bottom"/>
            <w:hideMark/>
          </w:tcPr>
          <w:p w:rsidR="00B52AAC" w:rsidRPr="00F75EF6" w:rsidRDefault="00B52AAC" w:rsidP="0036425A">
            <w:pPr>
              <w:jc w:val="center"/>
              <w:rPr>
                <w:rFonts w:ascii="Verdana" w:hAnsi="Verdana" w:cs="Arial"/>
                <w:b/>
                <w:sz w:val="16"/>
                <w:szCs w:val="16"/>
              </w:rPr>
            </w:pPr>
            <w:r w:rsidRPr="00F75EF6">
              <w:rPr>
                <w:rFonts w:ascii="Verdana" w:hAnsi="Verdana" w:cs="Arial"/>
                <w:b/>
                <w:sz w:val="16"/>
                <w:szCs w:val="16"/>
              </w:rPr>
              <w:t>199</w:t>
            </w:r>
          </w:p>
        </w:tc>
        <w:tc>
          <w:tcPr>
            <w:tcW w:w="992" w:type="dxa"/>
            <w:tcBorders>
              <w:top w:val="single" w:sz="4" w:space="0" w:color="auto"/>
              <w:left w:val="nil"/>
              <w:bottom w:val="single" w:sz="4" w:space="0" w:color="auto"/>
              <w:right w:val="single" w:sz="4" w:space="0" w:color="auto"/>
            </w:tcBorders>
            <w:shd w:val="clear" w:color="auto" w:fill="DFA312"/>
            <w:noWrap/>
            <w:vAlign w:val="bottom"/>
            <w:hideMark/>
          </w:tcPr>
          <w:p w:rsidR="00B52AAC" w:rsidRPr="00F75EF6" w:rsidRDefault="00B52AAC" w:rsidP="0036425A">
            <w:pPr>
              <w:jc w:val="center"/>
              <w:rPr>
                <w:rFonts w:ascii="Verdana" w:hAnsi="Verdana" w:cs="Arial"/>
                <w:b/>
                <w:sz w:val="16"/>
                <w:szCs w:val="16"/>
              </w:rPr>
            </w:pPr>
            <w:r w:rsidRPr="00F75EF6">
              <w:rPr>
                <w:rFonts w:ascii="Verdana" w:hAnsi="Verdana" w:cs="Arial"/>
                <w:b/>
                <w:sz w:val="16"/>
                <w:szCs w:val="16"/>
              </w:rPr>
              <w:t>180</w:t>
            </w:r>
          </w:p>
        </w:tc>
        <w:tc>
          <w:tcPr>
            <w:tcW w:w="993" w:type="dxa"/>
            <w:tcBorders>
              <w:top w:val="single" w:sz="4" w:space="0" w:color="auto"/>
              <w:left w:val="nil"/>
              <w:bottom w:val="single" w:sz="4" w:space="0" w:color="auto"/>
              <w:right w:val="single" w:sz="4" w:space="0" w:color="auto"/>
            </w:tcBorders>
            <w:shd w:val="clear" w:color="auto" w:fill="DFA312"/>
            <w:noWrap/>
            <w:vAlign w:val="bottom"/>
            <w:hideMark/>
          </w:tcPr>
          <w:p w:rsidR="00B52AAC" w:rsidRPr="00F75EF6" w:rsidRDefault="00B52AAC" w:rsidP="0036425A">
            <w:pPr>
              <w:jc w:val="center"/>
              <w:rPr>
                <w:rFonts w:ascii="Verdana" w:hAnsi="Verdana" w:cs="Arial"/>
                <w:b/>
                <w:sz w:val="16"/>
                <w:szCs w:val="16"/>
              </w:rPr>
            </w:pPr>
            <w:r w:rsidRPr="00F75EF6">
              <w:rPr>
                <w:rFonts w:ascii="Verdana" w:hAnsi="Verdana" w:cs="Arial"/>
                <w:b/>
                <w:sz w:val="16"/>
                <w:szCs w:val="16"/>
              </w:rPr>
              <w:t>34</w:t>
            </w:r>
          </w:p>
        </w:tc>
        <w:tc>
          <w:tcPr>
            <w:tcW w:w="850" w:type="dxa"/>
            <w:tcBorders>
              <w:top w:val="single" w:sz="4" w:space="0" w:color="auto"/>
              <w:left w:val="nil"/>
              <w:bottom w:val="single" w:sz="4" w:space="0" w:color="auto"/>
              <w:right w:val="single" w:sz="4" w:space="0" w:color="auto"/>
            </w:tcBorders>
            <w:shd w:val="clear" w:color="auto" w:fill="DFA312"/>
            <w:noWrap/>
            <w:vAlign w:val="bottom"/>
            <w:hideMark/>
          </w:tcPr>
          <w:p w:rsidR="00B52AAC" w:rsidRPr="00F75EF6" w:rsidRDefault="00B52AAC" w:rsidP="0036425A">
            <w:pPr>
              <w:jc w:val="center"/>
              <w:rPr>
                <w:rFonts w:ascii="Verdana" w:hAnsi="Verdana" w:cs="Arial"/>
                <w:b/>
                <w:sz w:val="16"/>
                <w:szCs w:val="16"/>
              </w:rPr>
            </w:pPr>
            <w:r w:rsidRPr="00F75EF6">
              <w:rPr>
                <w:rFonts w:ascii="Verdana" w:hAnsi="Verdana" w:cs="Arial"/>
                <w:b/>
                <w:sz w:val="16"/>
                <w:szCs w:val="16"/>
              </w:rPr>
              <w:t>939</w:t>
            </w:r>
          </w:p>
        </w:tc>
        <w:tc>
          <w:tcPr>
            <w:tcW w:w="851" w:type="dxa"/>
            <w:tcBorders>
              <w:top w:val="single" w:sz="4" w:space="0" w:color="auto"/>
              <w:left w:val="nil"/>
              <w:bottom w:val="single" w:sz="4" w:space="0" w:color="auto"/>
              <w:right w:val="single" w:sz="4" w:space="0" w:color="auto"/>
            </w:tcBorders>
            <w:shd w:val="clear" w:color="auto" w:fill="DFA312"/>
            <w:noWrap/>
            <w:vAlign w:val="bottom"/>
            <w:hideMark/>
          </w:tcPr>
          <w:p w:rsidR="00B52AAC" w:rsidRPr="00F75EF6" w:rsidRDefault="00B52AAC" w:rsidP="0036425A">
            <w:pPr>
              <w:jc w:val="center"/>
              <w:rPr>
                <w:rFonts w:ascii="Verdana" w:hAnsi="Verdana" w:cs="Arial"/>
                <w:b/>
                <w:sz w:val="16"/>
                <w:szCs w:val="16"/>
              </w:rPr>
            </w:pPr>
            <w:r w:rsidRPr="00F75EF6">
              <w:rPr>
                <w:rFonts w:ascii="Verdana" w:hAnsi="Verdana" w:cs="Arial"/>
                <w:b/>
                <w:sz w:val="16"/>
                <w:szCs w:val="16"/>
              </w:rPr>
              <w:t>938</w:t>
            </w:r>
          </w:p>
        </w:tc>
        <w:tc>
          <w:tcPr>
            <w:tcW w:w="777" w:type="dxa"/>
            <w:tcBorders>
              <w:top w:val="single" w:sz="4" w:space="0" w:color="auto"/>
              <w:left w:val="nil"/>
              <w:bottom w:val="single" w:sz="4" w:space="0" w:color="auto"/>
              <w:right w:val="single" w:sz="4" w:space="0" w:color="auto"/>
            </w:tcBorders>
            <w:shd w:val="clear" w:color="auto" w:fill="DFA312"/>
            <w:noWrap/>
            <w:vAlign w:val="bottom"/>
            <w:hideMark/>
          </w:tcPr>
          <w:p w:rsidR="00B52AAC" w:rsidRPr="00F75EF6" w:rsidRDefault="00B52AAC" w:rsidP="0036425A">
            <w:pPr>
              <w:jc w:val="center"/>
              <w:rPr>
                <w:rFonts w:ascii="Verdana" w:hAnsi="Verdana" w:cs="Arial"/>
                <w:b/>
                <w:sz w:val="16"/>
                <w:szCs w:val="16"/>
              </w:rPr>
            </w:pPr>
            <w:r w:rsidRPr="00F75EF6">
              <w:rPr>
                <w:rFonts w:ascii="Verdana" w:hAnsi="Verdana" w:cs="Arial"/>
                <w:b/>
                <w:sz w:val="16"/>
                <w:szCs w:val="16"/>
              </w:rPr>
              <w:t>1</w:t>
            </w:r>
          </w:p>
        </w:tc>
      </w:tr>
    </w:tbl>
    <w:p w:rsidR="00B52AAC" w:rsidRPr="0015646E" w:rsidRDefault="00B52AAC" w:rsidP="00B52AAC">
      <w:pPr>
        <w:pStyle w:val="Elencoacolori-Colore11"/>
        <w:spacing w:after="0" w:line="240" w:lineRule="auto"/>
        <w:ind w:left="0"/>
        <w:jc w:val="both"/>
        <w:rPr>
          <w:rFonts w:ascii="Verdana" w:hAnsi="Verdana"/>
          <w:i/>
          <w:sz w:val="20"/>
          <w:szCs w:val="20"/>
        </w:rPr>
      </w:pPr>
    </w:p>
    <w:p w:rsidR="00B52AAC" w:rsidRPr="0015646E" w:rsidRDefault="00B52AAC" w:rsidP="00B52AAC">
      <w:pPr>
        <w:pStyle w:val="Elencoacolori-Colore11"/>
        <w:spacing w:after="0" w:line="240" w:lineRule="auto"/>
        <w:ind w:left="0"/>
        <w:jc w:val="both"/>
        <w:rPr>
          <w:rFonts w:ascii="Verdana" w:hAnsi="Verdana"/>
          <w:sz w:val="18"/>
          <w:szCs w:val="18"/>
        </w:rPr>
      </w:pPr>
      <w:r w:rsidRPr="0015646E">
        <w:rPr>
          <w:rFonts w:ascii="Verdana" w:hAnsi="Verdana"/>
          <w:i/>
          <w:sz w:val="18"/>
          <w:szCs w:val="18"/>
        </w:rPr>
        <w:t>Fonte: Rapporto Assofranchising Italia 2013 –  Strutture, Tendenze e Scenari. A cura di Assofranchising. Realizzato ed elaborato dal Servizio Studi Assofranchising e dall’Osservatorio Permanente sul Franchising.</w:t>
      </w:r>
    </w:p>
    <w:p w:rsidR="00B52AAC" w:rsidRPr="0015646E" w:rsidRDefault="00B52AAC" w:rsidP="00B52AAC">
      <w:pPr>
        <w:pStyle w:val="Elencoacolori-Colore11"/>
        <w:spacing w:after="0" w:line="240" w:lineRule="auto"/>
        <w:ind w:left="0"/>
        <w:jc w:val="both"/>
        <w:rPr>
          <w:rFonts w:ascii="Verdana" w:hAnsi="Verdana"/>
          <w:i/>
          <w:sz w:val="20"/>
          <w:szCs w:val="20"/>
        </w:rPr>
      </w:pPr>
    </w:p>
    <w:p w:rsidR="00B52AAC" w:rsidRPr="0015646E" w:rsidRDefault="00B52AAC" w:rsidP="00EB7A4F">
      <w:pPr>
        <w:pStyle w:val="Titolo1"/>
        <w:spacing w:line="276" w:lineRule="auto"/>
        <w:rPr>
          <w:rFonts w:ascii="Verdana" w:hAnsi="Verdana"/>
          <w:sz w:val="20"/>
          <w:szCs w:val="20"/>
        </w:rPr>
      </w:pPr>
      <w:bookmarkStart w:id="3" w:name="_Toc389745461"/>
      <w:r w:rsidRPr="0015646E">
        <w:rPr>
          <w:rFonts w:ascii="Verdana" w:hAnsi="Verdana"/>
          <w:sz w:val="20"/>
          <w:szCs w:val="20"/>
        </w:rPr>
        <w:t>5. Giro d’affari delle reti</w:t>
      </w:r>
      <w:bookmarkEnd w:id="3"/>
    </w:p>
    <w:p w:rsidR="00B52AAC" w:rsidRPr="0015646E" w:rsidRDefault="00B52AAC" w:rsidP="00EB7A4F">
      <w:pPr>
        <w:spacing w:line="276" w:lineRule="auto"/>
        <w:jc w:val="both"/>
        <w:rPr>
          <w:rFonts w:ascii="Verdana" w:hAnsi="Verdana"/>
          <w:sz w:val="20"/>
          <w:szCs w:val="20"/>
        </w:rPr>
      </w:pPr>
      <w:r w:rsidRPr="0015646E">
        <w:rPr>
          <w:rFonts w:ascii="Verdana" w:hAnsi="Verdana"/>
          <w:sz w:val="20"/>
          <w:szCs w:val="20"/>
        </w:rPr>
        <w:t>L’esame della voce  “fatturato” è stata condotta considerando il contributo di ogni settore, così da evidenziare quelli più dinamici nel panorama italiano.</w:t>
      </w:r>
    </w:p>
    <w:p w:rsidR="00B52AAC" w:rsidRPr="0015646E" w:rsidRDefault="00B52AAC" w:rsidP="00EB7A4F">
      <w:pPr>
        <w:spacing w:line="276" w:lineRule="auto"/>
        <w:jc w:val="both"/>
        <w:rPr>
          <w:rFonts w:ascii="Verdana" w:hAnsi="Verdana"/>
          <w:sz w:val="20"/>
          <w:szCs w:val="20"/>
        </w:rPr>
      </w:pPr>
      <w:r w:rsidRPr="0015646E">
        <w:rPr>
          <w:rFonts w:ascii="Verdana" w:hAnsi="Verdana"/>
          <w:sz w:val="20"/>
          <w:szCs w:val="20"/>
        </w:rPr>
        <w:t xml:space="preserve">La tabella 8 evidenzia una forte concentrazione del fatturato nei primi 6 settori esaminati; nello specifico, i settori </w:t>
      </w:r>
      <w:r w:rsidRPr="0015646E">
        <w:rPr>
          <w:rFonts w:ascii="Verdana" w:hAnsi="Verdana"/>
          <w:i/>
          <w:sz w:val="20"/>
          <w:szCs w:val="20"/>
        </w:rPr>
        <w:t>“</w:t>
      </w:r>
      <w:proofErr w:type="spellStart"/>
      <w:r w:rsidRPr="0015646E">
        <w:rPr>
          <w:rFonts w:ascii="Verdana" w:hAnsi="Verdana"/>
          <w:i/>
          <w:sz w:val="20"/>
          <w:szCs w:val="20"/>
        </w:rPr>
        <w:t>gdo</w:t>
      </w:r>
      <w:proofErr w:type="spellEnd"/>
      <w:r w:rsidRPr="0015646E">
        <w:rPr>
          <w:rFonts w:ascii="Verdana" w:hAnsi="Verdana"/>
          <w:i/>
          <w:sz w:val="20"/>
          <w:szCs w:val="20"/>
        </w:rPr>
        <w:t xml:space="preserve"> </w:t>
      </w:r>
      <w:proofErr w:type="spellStart"/>
      <w:r w:rsidRPr="0015646E">
        <w:rPr>
          <w:rFonts w:ascii="Verdana" w:hAnsi="Verdana"/>
          <w:i/>
          <w:sz w:val="20"/>
          <w:szCs w:val="20"/>
        </w:rPr>
        <w:t>food</w:t>
      </w:r>
      <w:proofErr w:type="spellEnd"/>
      <w:r w:rsidRPr="0015646E">
        <w:rPr>
          <w:rFonts w:ascii="Verdana" w:hAnsi="Verdana"/>
          <w:i/>
          <w:sz w:val="20"/>
          <w:szCs w:val="20"/>
        </w:rPr>
        <w:t xml:space="preserve"> - alimentari”, “prodotti e servizi specialistici”, “abbigliamento uomo donna”, “ristorazione rapida - pizzerie - caffetterie”, “intimo” </w:t>
      </w:r>
      <w:r w:rsidRPr="0015646E">
        <w:rPr>
          <w:rFonts w:ascii="Verdana" w:hAnsi="Verdana"/>
          <w:sz w:val="20"/>
          <w:szCs w:val="20"/>
        </w:rPr>
        <w:t xml:space="preserve">e </w:t>
      </w:r>
      <w:r w:rsidRPr="0015646E">
        <w:rPr>
          <w:rFonts w:ascii="Verdana" w:hAnsi="Verdana"/>
          <w:i/>
          <w:sz w:val="20"/>
          <w:szCs w:val="20"/>
        </w:rPr>
        <w:t>“agenzie viaggio - turismo”</w:t>
      </w:r>
      <w:r w:rsidRPr="0015646E">
        <w:rPr>
          <w:rFonts w:ascii="Verdana" w:hAnsi="Verdana"/>
          <w:sz w:val="20"/>
          <w:szCs w:val="20"/>
        </w:rPr>
        <w:t xml:space="preserve"> ha inciso nella misura del 64,77% sul volume d’affari complessivo. </w:t>
      </w:r>
    </w:p>
    <w:p w:rsidR="00B52AAC" w:rsidRPr="0015646E" w:rsidRDefault="00B52AAC" w:rsidP="00EB7A4F">
      <w:pPr>
        <w:spacing w:line="276" w:lineRule="auto"/>
        <w:jc w:val="both"/>
        <w:rPr>
          <w:rFonts w:ascii="Verdana" w:hAnsi="Verdana"/>
          <w:sz w:val="20"/>
          <w:szCs w:val="20"/>
        </w:rPr>
      </w:pPr>
      <w:r w:rsidRPr="0015646E">
        <w:rPr>
          <w:rFonts w:ascii="Verdana" w:hAnsi="Verdana"/>
          <w:sz w:val="20"/>
          <w:szCs w:val="20"/>
        </w:rPr>
        <w:t xml:space="preserve">Più in dettaglio, anche nel 2013 il settore </w:t>
      </w:r>
      <w:r w:rsidRPr="0015646E">
        <w:rPr>
          <w:rFonts w:ascii="Verdana" w:hAnsi="Verdana"/>
          <w:i/>
          <w:sz w:val="20"/>
          <w:szCs w:val="20"/>
        </w:rPr>
        <w:t>“</w:t>
      </w:r>
      <w:proofErr w:type="spellStart"/>
      <w:r w:rsidRPr="0015646E">
        <w:rPr>
          <w:rFonts w:ascii="Verdana" w:hAnsi="Verdana"/>
          <w:i/>
          <w:sz w:val="20"/>
          <w:szCs w:val="20"/>
        </w:rPr>
        <w:t>gdo</w:t>
      </w:r>
      <w:proofErr w:type="spellEnd"/>
      <w:r w:rsidRPr="0015646E">
        <w:rPr>
          <w:rFonts w:ascii="Verdana" w:hAnsi="Verdana"/>
          <w:i/>
          <w:sz w:val="20"/>
          <w:szCs w:val="20"/>
        </w:rPr>
        <w:t xml:space="preserve"> </w:t>
      </w:r>
      <w:proofErr w:type="spellStart"/>
      <w:r w:rsidRPr="0015646E">
        <w:rPr>
          <w:rFonts w:ascii="Verdana" w:hAnsi="Verdana"/>
          <w:i/>
          <w:sz w:val="20"/>
          <w:szCs w:val="20"/>
        </w:rPr>
        <w:t>food</w:t>
      </w:r>
      <w:proofErr w:type="spellEnd"/>
      <w:r w:rsidRPr="0015646E">
        <w:rPr>
          <w:rFonts w:ascii="Verdana" w:hAnsi="Verdana"/>
          <w:i/>
          <w:sz w:val="20"/>
          <w:szCs w:val="20"/>
        </w:rPr>
        <w:t xml:space="preserve"> - alimentari” </w:t>
      </w:r>
      <w:r w:rsidRPr="0015646E">
        <w:rPr>
          <w:rFonts w:ascii="Verdana" w:hAnsi="Verdana"/>
          <w:sz w:val="20"/>
          <w:szCs w:val="20"/>
        </w:rPr>
        <w:t xml:space="preserve">ha realizzato il fatturato maggiore pari a € 7.322.274.000, con un’incidenza sul dato nazionale del 31,15%, in lieve incremento d’incidenza rispetto al 2012 dell’1,09%. A seguire vi è il settore dei </w:t>
      </w:r>
      <w:r w:rsidRPr="0015646E">
        <w:rPr>
          <w:rFonts w:ascii="Verdana" w:hAnsi="Verdana"/>
          <w:i/>
          <w:sz w:val="20"/>
          <w:szCs w:val="20"/>
        </w:rPr>
        <w:t>“prodotti e servizi specialistici”</w:t>
      </w:r>
      <w:r w:rsidRPr="0015646E">
        <w:rPr>
          <w:rFonts w:ascii="Verdana" w:hAnsi="Verdana"/>
          <w:sz w:val="20"/>
          <w:szCs w:val="20"/>
        </w:rPr>
        <w:t xml:space="preserve"> che nel 2013 ha inciso sul fatturato totale nella misura del 9,48% con un fatturato di € 2.227.582.000.</w:t>
      </w:r>
    </w:p>
    <w:p w:rsidR="00B52AAC" w:rsidRPr="0015646E" w:rsidRDefault="00B52AAC" w:rsidP="00EB7A4F">
      <w:pPr>
        <w:spacing w:line="276" w:lineRule="auto"/>
        <w:jc w:val="both"/>
        <w:rPr>
          <w:rFonts w:ascii="Verdana" w:hAnsi="Verdana"/>
          <w:i/>
          <w:sz w:val="20"/>
          <w:szCs w:val="20"/>
        </w:rPr>
      </w:pPr>
      <w:r w:rsidRPr="0015646E">
        <w:rPr>
          <w:rFonts w:ascii="Verdana" w:hAnsi="Verdana"/>
          <w:sz w:val="20"/>
          <w:szCs w:val="20"/>
        </w:rPr>
        <w:t xml:space="preserve">Le prime sei posizioni sono occupate dai medesimi settori che già si erano distinti nel 2012 con una sola differenza relativa al settore </w:t>
      </w:r>
      <w:r w:rsidRPr="0015646E">
        <w:rPr>
          <w:rFonts w:ascii="Verdana" w:hAnsi="Verdana"/>
          <w:i/>
          <w:sz w:val="20"/>
          <w:szCs w:val="20"/>
        </w:rPr>
        <w:t>“viaggi e turismo”</w:t>
      </w:r>
      <w:r w:rsidRPr="0015646E">
        <w:rPr>
          <w:rFonts w:ascii="Verdana" w:hAnsi="Verdana"/>
          <w:sz w:val="20"/>
          <w:szCs w:val="20"/>
        </w:rPr>
        <w:t xml:space="preserve"> che dalla 5° posizione è scivolato in 6° a vantaggio del settore </w:t>
      </w:r>
      <w:r w:rsidRPr="0015646E">
        <w:rPr>
          <w:rFonts w:ascii="Verdana" w:hAnsi="Verdana"/>
          <w:i/>
          <w:sz w:val="20"/>
          <w:szCs w:val="20"/>
        </w:rPr>
        <w:t>“intimo”.</w:t>
      </w:r>
    </w:p>
    <w:p w:rsidR="00506399" w:rsidRDefault="00506399">
      <w:pPr>
        <w:spacing w:after="200" w:line="276" w:lineRule="auto"/>
        <w:rPr>
          <w:rFonts w:ascii="Verdana" w:eastAsia="Times New Roman" w:hAnsi="Verdana" w:cs="Times New Roman"/>
          <w:sz w:val="20"/>
          <w:szCs w:val="20"/>
          <w:lang w:eastAsia="it-IT"/>
        </w:rPr>
      </w:pPr>
      <w:r>
        <w:rPr>
          <w:rFonts w:ascii="Verdana" w:hAnsi="Verdana"/>
          <w:sz w:val="20"/>
          <w:szCs w:val="20"/>
        </w:rPr>
        <w:br w:type="page"/>
      </w:r>
    </w:p>
    <w:p w:rsidR="00506399" w:rsidRPr="00B11345" w:rsidRDefault="00B52AAC" w:rsidP="00506399">
      <w:pPr>
        <w:pStyle w:val="Elencoacolori-Colore11"/>
        <w:ind w:left="0"/>
        <w:jc w:val="both"/>
        <w:rPr>
          <w:rFonts w:ascii="Verdana" w:hAnsi="Verdana"/>
          <w:sz w:val="20"/>
        </w:rPr>
      </w:pPr>
      <w:r w:rsidRPr="0015646E">
        <w:rPr>
          <w:rFonts w:ascii="Verdana" w:hAnsi="Verdana"/>
          <w:sz w:val="20"/>
          <w:szCs w:val="20"/>
        </w:rPr>
        <w:lastRenderedPageBreak/>
        <w:t xml:space="preserve">In ultima posizione troviamo il settore degli </w:t>
      </w:r>
      <w:r w:rsidRPr="0015646E">
        <w:rPr>
          <w:rFonts w:ascii="Verdana" w:hAnsi="Verdana"/>
          <w:i/>
          <w:sz w:val="20"/>
          <w:szCs w:val="20"/>
        </w:rPr>
        <w:t xml:space="preserve">“alberghi” (0,33%), </w:t>
      </w:r>
      <w:r w:rsidRPr="0015646E">
        <w:rPr>
          <w:rFonts w:ascii="Verdana" w:hAnsi="Verdana"/>
          <w:sz w:val="20"/>
          <w:szCs w:val="20"/>
        </w:rPr>
        <w:t xml:space="preserve">e degli </w:t>
      </w:r>
      <w:r w:rsidRPr="0015646E">
        <w:rPr>
          <w:rFonts w:ascii="Verdana" w:hAnsi="Verdana"/>
          <w:i/>
          <w:sz w:val="20"/>
          <w:szCs w:val="20"/>
        </w:rPr>
        <w:t>“asili e ludoteche”</w:t>
      </w:r>
      <w:r w:rsidRPr="0015646E">
        <w:rPr>
          <w:rFonts w:ascii="Verdana" w:hAnsi="Verdana"/>
          <w:sz w:val="20"/>
          <w:szCs w:val="20"/>
        </w:rPr>
        <w:t xml:space="preserve"> e per ultimo delle “</w:t>
      </w:r>
      <w:r w:rsidRPr="0015646E">
        <w:rPr>
          <w:rFonts w:ascii="Verdana" w:hAnsi="Verdana"/>
          <w:i/>
          <w:sz w:val="20"/>
          <w:szCs w:val="20"/>
        </w:rPr>
        <w:t xml:space="preserve">lavanderie - tintorie” </w:t>
      </w:r>
      <w:r w:rsidRPr="0015646E">
        <w:rPr>
          <w:rFonts w:ascii="Verdana" w:hAnsi="Verdana"/>
          <w:sz w:val="20"/>
          <w:szCs w:val="20"/>
        </w:rPr>
        <w:t>che hanno totalizzato complessivamente un fatturato di € 228.534.000.</w:t>
      </w:r>
      <w:r w:rsidR="00506399" w:rsidRPr="00B11345">
        <w:rPr>
          <w:rFonts w:ascii="Verdana" w:hAnsi="Verdana"/>
          <w:sz w:val="20"/>
        </w:rPr>
        <w:t xml:space="preserve"> </w:t>
      </w:r>
    </w:p>
    <w:p w:rsidR="00B52AAC" w:rsidRPr="00B11345" w:rsidRDefault="00B52AAC" w:rsidP="00B11345">
      <w:pPr>
        <w:pStyle w:val="Didascalia"/>
        <w:keepNext/>
        <w:spacing w:line="240" w:lineRule="atLeast"/>
        <w:jc w:val="left"/>
        <w:rPr>
          <w:rFonts w:ascii="Verdana" w:hAnsi="Verdana"/>
          <w:sz w:val="20"/>
        </w:rPr>
      </w:pPr>
      <w:r w:rsidRPr="00B11345">
        <w:rPr>
          <w:rFonts w:ascii="Verdana" w:hAnsi="Verdana"/>
          <w:sz w:val="20"/>
        </w:rPr>
        <w:t>Tabella n. 8: Giro d’affari delle reti</w:t>
      </w:r>
    </w:p>
    <w:tbl>
      <w:tblPr>
        <w:tblW w:w="4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1971"/>
        <w:gridCol w:w="1599"/>
      </w:tblGrid>
      <w:tr w:rsidR="006B0AA3" w:rsidRPr="00DA3392" w:rsidTr="006B0AA3">
        <w:trPr>
          <w:trHeight w:val="315"/>
        </w:trPr>
        <w:tc>
          <w:tcPr>
            <w:tcW w:w="2876" w:type="pct"/>
            <w:shd w:val="clear" w:color="auto" w:fill="DFA312"/>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SETTORE</w:t>
            </w:r>
          </w:p>
        </w:tc>
        <w:tc>
          <w:tcPr>
            <w:tcW w:w="1173" w:type="pct"/>
            <w:shd w:val="clear" w:color="auto" w:fill="DFA312"/>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FATTURATO</w:t>
            </w:r>
          </w:p>
        </w:tc>
        <w:tc>
          <w:tcPr>
            <w:tcW w:w="951" w:type="pct"/>
            <w:shd w:val="clear" w:color="auto" w:fill="DFA312"/>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INCIDENZA %</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GDO FOOD - ALIMENTARI</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€ 7.322.274.000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31,15%</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PRODOTTI E SERVIZI SPECIALISTICI</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€ 2.227.582.000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9,48%</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ABBIGLIAMENTO UOMO DONNA</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€ 1.561.177.500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6,64%</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RISTORAZIONE RAPIDA - PIZZERIE - CAFFETTERIE</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€ 1.480.656.500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6,30%</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INTIMO</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€ 1.403.134.422</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5,97%</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AGENZIE VIAGGI - TURISMO</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€ 1.230.171.000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5,23%</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AGENZIA IMMOBILIARI - MEDIAZIONE CREDITIZIA</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€ 837.550.000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3,56%</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ABBIGLIAMENTO BAMBINO</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€ 801.183.500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3,41%</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CALZATURE - PELLETTERIA ACCESSORI</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€ 759.628.000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3,23%</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GDO - NON FOOD</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€ 678.140.000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2,89%</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OTTICA (PRODOTTI E ACCESSORI)</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€ 461.896.000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1,97%</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ARTICOLI UFFICIO - CARTOLERIA</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€ 449.934.000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1,91%</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INTERNET - TELEFONIA</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€ 445.447.000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1,90%</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SERVIZI POSTALI - STAMPA - COMUNICAZIONE</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€ 399.342.000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1,70%</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GIOIELLERIA - BIGIOTTERIA</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€ 395.205.500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1,68%</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PRODOTTI VARI - OGGETTISTICA</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€ 391.020.000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1,66%</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RISTORAZIONE A TEMA - PUB</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€ 357.489.500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1,52%</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AUTO - MOTO - VEICOLI (PRODOTTI E SERVIZI)</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€ 352.977.000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1,50%</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MOBILI - COMPLEMENTI D'ARREDO</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€ 346.020.000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1,47%</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CENTRI ESTETICI - BENESSERE - PALESTRE</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€ 257.213.500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1,09%</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LIBRERIE</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€ 201.376.000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0,86%</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PARRUCCHIERI (PRODOTTI E SERVIZI)</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€ 170.830.500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0,73%</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COSMETICA - PROFUMERIA</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€ 170.086.000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0,72%</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ERBORISTERIA - DIETETICA - PARAFARMACEUTICA</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€ 165.315.000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0,70%</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INFORMATICA - VIDEOTECHE - FOTO</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€ 151.860.000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0,65%</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GELATERIE - YOGURTERIE - CHIOSCHI</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€ 147.850.000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0,63%</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FORMAZIONE - CONSULENZA</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€ 110.707.000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0,47%</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ALBERGHI</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€ 78.550.000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0,33%</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ASILI - LUDOTECHE</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€ 75.079.000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0,32%</w:t>
            </w:r>
          </w:p>
        </w:tc>
      </w:tr>
      <w:tr w:rsidR="006B0AA3" w:rsidRPr="00DA3392" w:rsidTr="006B0AA3">
        <w:trPr>
          <w:trHeight w:val="315"/>
        </w:trPr>
        <w:tc>
          <w:tcPr>
            <w:tcW w:w="2876" w:type="pct"/>
            <w:shd w:val="clear" w:color="auto" w:fill="auto"/>
            <w:noWrap/>
            <w:vAlign w:val="bottom"/>
            <w:hideMark/>
          </w:tcPr>
          <w:p w:rsidR="006B0AA3" w:rsidRPr="00DA3392" w:rsidRDefault="006B0AA3" w:rsidP="0036425A">
            <w:pPr>
              <w:jc w:val="center"/>
              <w:rPr>
                <w:rFonts w:ascii="Verdana" w:hAnsi="Verdana" w:cs="Arial"/>
                <w:sz w:val="18"/>
                <w:szCs w:val="24"/>
              </w:rPr>
            </w:pPr>
            <w:r w:rsidRPr="00DA3392">
              <w:rPr>
                <w:rFonts w:ascii="Verdana" w:hAnsi="Verdana" w:cs="Arial"/>
                <w:sz w:val="18"/>
                <w:szCs w:val="24"/>
              </w:rPr>
              <w:t>LAVANDERIE - TINTORIE</w:t>
            </w:r>
          </w:p>
        </w:tc>
        <w:tc>
          <w:tcPr>
            <w:tcW w:w="1173" w:type="pct"/>
            <w:shd w:val="clear" w:color="auto" w:fill="auto"/>
            <w:noWrap/>
            <w:vAlign w:val="bottom"/>
            <w:hideMark/>
          </w:tcPr>
          <w:p w:rsidR="006B0AA3" w:rsidRPr="00DA3392" w:rsidRDefault="006B0AA3" w:rsidP="0036425A">
            <w:pPr>
              <w:jc w:val="center"/>
              <w:rPr>
                <w:rFonts w:ascii="Verdana" w:hAnsi="Verdana" w:cs="Arial"/>
                <w:color w:val="000000"/>
                <w:sz w:val="18"/>
                <w:szCs w:val="24"/>
              </w:rPr>
            </w:pPr>
            <w:r w:rsidRPr="00DA3392">
              <w:rPr>
                <w:rFonts w:ascii="Verdana" w:hAnsi="Verdana" w:cs="Arial"/>
                <w:color w:val="000000"/>
                <w:sz w:val="18"/>
                <w:szCs w:val="24"/>
              </w:rPr>
              <w:t>€ 74.905.000</w:t>
            </w:r>
          </w:p>
        </w:tc>
        <w:tc>
          <w:tcPr>
            <w:tcW w:w="951" w:type="pct"/>
            <w:shd w:val="clear" w:color="auto" w:fill="auto"/>
            <w:noWrap/>
            <w:vAlign w:val="bottom"/>
            <w:hideMark/>
          </w:tcPr>
          <w:p w:rsidR="006B0AA3" w:rsidRPr="00DA3392" w:rsidRDefault="006B0AA3" w:rsidP="0036425A">
            <w:pPr>
              <w:jc w:val="center"/>
              <w:rPr>
                <w:rFonts w:ascii="Verdana" w:hAnsi="Verdana" w:cs="Arial"/>
                <w:b/>
                <w:bCs/>
                <w:sz w:val="18"/>
                <w:szCs w:val="24"/>
              </w:rPr>
            </w:pPr>
            <w:r w:rsidRPr="00DA3392">
              <w:rPr>
                <w:rFonts w:ascii="Verdana" w:hAnsi="Verdana" w:cs="Arial"/>
                <w:b/>
                <w:bCs/>
                <w:sz w:val="18"/>
                <w:szCs w:val="24"/>
              </w:rPr>
              <w:t>0,32%</w:t>
            </w:r>
          </w:p>
        </w:tc>
      </w:tr>
      <w:tr w:rsidR="006B0AA3" w:rsidRPr="00DA3392" w:rsidTr="006B0AA3">
        <w:trPr>
          <w:trHeight w:val="360"/>
        </w:trPr>
        <w:tc>
          <w:tcPr>
            <w:tcW w:w="2876" w:type="pct"/>
            <w:shd w:val="clear" w:color="auto" w:fill="auto"/>
            <w:noWrap/>
            <w:vAlign w:val="bottom"/>
            <w:hideMark/>
          </w:tcPr>
          <w:p w:rsidR="006B0AA3" w:rsidRPr="00DA3392" w:rsidRDefault="006B0AA3" w:rsidP="0036425A">
            <w:pPr>
              <w:rPr>
                <w:rFonts w:ascii="Verdana" w:hAnsi="Verdana" w:cs="Arial"/>
                <w:sz w:val="18"/>
                <w:szCs w:val="20"/>
              </w:rPr>
            </w:pPr>
          </w:p>
        </w:tc>
        <w:tc>
          <w:tcPr>
            <w:tcW w:w="1173" w:type="pct"/>
            <w:shd w:val="clear" w:color="auto" w:fill="DFA312"/>
            <w:noWrap/>
            <w:vAlign w:val="bottom"/>
            <w:hideMark/>
          </w:tcPr>
          <w:p w:rsidR="006B0AA3" w:rsidRPr="00DA3392" w:rsidRDefault="006B0AA3" w:rsidP="0036425A">
            <w:pPr>
              <w:jc w:val="center"/>
              <w:rPr>
                <w:rFonts w:ascii="Verdana" w:hAnsi="Verdana" w:cs="Arial"/>
                <w:b/>
                <w:bCs/>
                <w:sz w:val="18"/>
                <w:szCs w:val="28"/>
              </w:rPr>
            </w:pPr>
            <w:r w:rsidRPr="00DA3392">
              <w:rPr>
                <w:rFonts w:ascii="Verdana" w:hAnsi="Verdana" w:cs="Arial"/>
                <w:b/>
                <w:bCs/>
                <w:sz w:val="18"/>
                <w:szCs w:val="28"/>
              </w:rPr>
              <w:t>€ 23.504.599.922</w:t>
            </w:r>
          </w:p>
        </w:tc>
        <w:tc>
          <w:tcPr>
            <w:tcW w:w="951" w:type="pct"/>
            <w:shd w:val="clear" w:color="auto" w:fill="DFA312"/>
            <w:noWrap/>
            <w:vAlign w:val="bottom"/>
            <w:hideMark/>
          </w:tcPr>
          <w:p w:rsidR="006B0AA3" w:rsidRPr="00DA3392" w:rsidRDefault="006B0AA3" w:rsidP="0036425A">
            <w:pPr>
              <w:jc w:val="center"/>
              <w:rPr>
                <w:rFonts w:ascii="Verdana" w:hAnsi="Verdana" w:cs="Arial"/>
                <w:b/>
                <w:bCs/>
                <w:sz w:val="18"/>
                <w:szCs w:val="28"/>
              </w:rPr>
            </w:pPr>
            <w:r w:rsidRPr="00DA3392">
              <w:rPr>
                <w:rFonts w:ascii="Verdana" w:hAnsi="Verdana" w:cs="Arial"/>
                <w:b/>
                <w:bCs/>
                <w:sz w:val="18"/>
                <w:szCs w:val="28"/>
              </w:rPr>
              <w:t>100,00%</w:t>
            </w:r>
          </w:p>
        </w:tc>
      </w:tr>
    </w:tbl>
    <w:p w:rsidR="00B52AAC" w:rsidRPr="00DA3392" w:rsidRDefault="00B52AAC" w:rsidP="00B52AAC">
      <w:pPr>
        <w:rPr>
          <w:rFonts w:ascii="Verdana" w:hAnsi="Verdana"/>
        </w:rPr>
      </w:pPr>
    </w:p>
    <w:p w:rsidR="00B52AAC" w:rsidRPr="00B20E2D" w:rsidRDefault="00B52AAC" w:rsidP="00B52AAC">
      <w:pPr>
        <w:pStyle w:val="Elencoacolori-Colore11"/>
        <w:spacing w:after="0" w:line="240" w:lineRule="auto"/>
        <w:ind w:left="0"/>
        <w:jc w:val="both"/>
        <w:rPr>
          <w:rFonts w:ascii="Verdana" w:hAnsi="Verdana"/>
          <w:sz w:val="16"/>
          <w:szCs w:val="16"/>
        </w:rPr>
      </w:pPr>
      <w:r w:rsidRPr="00B20E2D">
        <w:rPr>
          <w:rFonts w:ascii="Verdana" w:hAnsi="Verdana"/>
          <w:i/>
          <w:sz w:val="16"/>
          <w:szCs w:val="16"/>
        </w:rPr>
        <w:t>Fonte: Rapporto Assofranchising Italia 2013 –  Strutture, Tendenze e Scenari. A cura di Assofranchising. Realizzato ed elaborato dal Servizio Studi Assofranchising e dall’Osservatorio Permanente sul Franchising.</w:t>
      </w:r>
    </w:p>
    <w:p w:rsidR="00B52AAC" w:rsidRPr="00DA3392" w:rsidRDefault="00B52AAC" w:rsidP="00B52AAC">
      <w:pPr>
        <w:spacing w:line="240" w:lineRule="atLeast"/>
        <w:jc w:val="center"/>
        <w:rPr>
          <w:rFonts w:ascii="Verdana" w:hAnsi="Verdana"/>
          <w:b/>
        </w:rPr>
      </w:pPr>
    </w:p>
    <w:p w:rsidR="00B52AAC" w:rsidRPr="00DA3392" w:rsidRDefault="00B52AAC" w:rsidP="00B52AAC">
      <w:pPr>
        <w:spacing w:line="240" w:lineRule="atLeast"/>
        <w:jc w:val="center"/>
        <w:rPr>
          <w:rFonts w:ascii="Verdana" w:hAnsi="Verdana"/>
          <w:b/>
        </w:rPr>
      </w:pPr>
    </w:p>
    <w:p w:rsidR="00B52AAC" w:rsidRPr="0015646E" w:rsidRDefault="00B52AAC" w:rsidP="00EB7A4F">
      <w:pPr>
        <w:spacing w:line="276" w:lineRule="auto"/>
        <w:jc w:val="both"/>
        <w:rPr>
          <w:rFonts w:ascii="Verdana" w:hAnsi="Verdana"/>
          <w:sz w:val="20"/>
          <w:szCs w:val="20"/>
        </w:rPr>
      </w:pPr>
      <w:r w:rsidRPr="0015646E">
        <w:rPr>
          <w:rFonts w:ascii="Verdana" w:hAnsi="Verdana"/>
          <w:sz w:val="20"/>
          <w:szCs w:val="20"/>
        </w:rPr>
        <w:t>L’ultimo tema di riflessione è collegato alla</w:t>
      </w:r>
      <w:r w:rsidRPr="0015646E">
        <w:rPr>
          <w:rFonts w:ascii="Verdana" w:hAnsi="Verdana"/>
          <w:b/>
          <w:sz w:val="20"/>
          <w:szCs w:val="20"/>
        </w:rPr>
        <w:t xml:space="preserve"> fascia d’età </w:t>
      </w:r>
      <w:r w:rsidRPr="0015646E">
        <w:rPr>
          <w:rFonts w:ascii="Verdana" w:hAnsi="Verdana"/>
          <w:sz w:val="20"/>
          <w:szCs w:val="20"/>
        </w:rPr>
        <w:t xml:space="preserve">dei Franchisee, ciò consente di elaborare alcune osservazioni sulla creazione di nuova imprenditorialità a cui contribuisce in modo significativo il Franchising. </w:t>
      </w:r>
    </w:p>
    <w:p w:rsidR="00B52AAC" w:rsidRDefault="00B52AAC" w:rsidP="00EB7A4F">
      <w:pPr>
        <w:spacing w:line="276" w:lineRule="auto"/>
        <w:jc w:val="both"/>
        <w:rPr>
          <w:rFonts w:ascii="Verdana" w:hAnsi="Verdana"/>
          <w:sz w:val="20"/>
          <w:szCs w:val="20"/>
        </w:rPr>
      </w:pPr>
      <w:r w:rsidRPr="0015646E">
        <w:rPr>
          <w:rFonts w:ascii="Verdana" w:hAnsi="Verdana"/>
          <w:sz w:val="20"/>
          <w:szCs w:val="20"/>
        </w:rPr>
        <w:lastRenderedPageBreak/>
        <w:t>Dalla tabella sottostante si evince che i Franchisee hanno nel 57% dei casi un’età compresa tra i 36 e 45 anni, percentuale leggermente aumentata</w:t>
      </w:r>
      <w:r w:rsidRPr="00DA3392">
        <w:rPr>
          <w:rFonts w:ascii="Verdana" w:hAnsi="Verdana"/>
          <w:sz w:val="24"/>
          <w:szCs w:val="20"/>
        </w:rPr>
        <w:t xml:space="preserve"> </w:t>
      </w:r>
      <w:r w:rsidRPr="0015646E">
        <w:rPr>
          <w:rFonts w:ascii="Verdana" w:hAnsi="Verdana"/>
          <w:sz w:val="20"/>
          <w:szCs w:val="20"/>
        </w:rPr>
        <w:t>rispetto al precedente anno; è scesa lievemente la percentuale di Franchisee con un’età compresa tra i 25 e 35 anni che si è attestata nel 2013 al 25,6%. In posizione residuale si pone la classe degli over 55 i quali hanno scelto la formula del Franchising nell’ 1,0% dei casi rilevati.</w:t>
      </w:r>
    </w:p>
    <w:p w:rsidR="00506399" w:rsidRPr="0015646E" w:rsidRDefault="00506399" w:rsidP="00EB7A4F">
      <w:pPr>
        <w:spacing w:line="276" w:lineRule="auto"/>
        <w:jc w:val="both"/>
        <w:rPr>
          <w:rFonts w:ascii="Verdana" w:hAnsi="Verdana"/>
          <w:sz w:val="20"/>
          <w:szCs w:val="20"/>
        </w:rPr>
      </w:pPr>
    </w:p>
    <w:p w:rsidR="00B52AAC" w:rsidRPr="0015646E" w:rsidRDefault="00B52AAC" w:rsidP="00B52AAC">
      <w:pPr>
        <w:spacing w:line="360" w:lineRule="auto"/>
        <w:jc w:val="center"/>
        <w:rPr>
          <w:rFonts w:ascii="Verdana" w:hAnsi="Verdana"/>
          <w:i/>
          <w:sz w:val="20"/>
          <w:szCs w:val="20"/>
        </w:rPr>
      </w:pPr>
      <w:r w:rsidRPr="0015646E">
        <w:rPr>
          <w:rFonts w:ascii="Verdana" w:hAnsi="Verdana"/>
          <w:i/>
          <w:sz w:val="20"/>
          <w:szCs w:val="20"/>
        </w:rPr>
        <w:t>Tabella n. 13: Fascia d’età</w:t>
      </w:r>
    </w:p>
    <w:tbl>
      <w:tblPr>
        <w:tblW w:w="3920" w:type="dxa"/>
        <w:jc w:val="center"/>
        <w:tblInd w:w="60" w:type="dxa"/>
        <w:tblCellMar>
          <w:left w:w="70" w:type="dxa"/>
          <w:right w:w="70" w:type="dxa"/>
        </w:tblCellMar>
        <w:tblLook w:val="04A0" w:firstRow="1" w:lastRow="0" w:firstColumn="1" w:lastColumn="0" w:noHBand="0" w:noVBand="1"/>
      </w:tblPr>
      <w:tblGrid>
        <w:gridCol w:w="2080"/>
        <w:gridCol w:w="1840"/>
      </w:tblGrid>
      <w:tr w:rsidR="00B52AAC" w:rsidRPr="0015646E" w:rsidTr="005639F7">
        <w:trPr>
          <w:trHeight w:val="315"/>
          <w:jc w:val="center"/>
        </w:trPr>
        <w:tc>
          <w:tcPr>
            <w:tcW w:w="2080" w:type="dxa"/>
            <w:tcBorders>
              <w:top w:val="single" w:sz="4" w:space="0" w:color="auto"/>
              <w:left w:val="single" w:sz="4" w:space="0" w:color="auto"/>
              <w:bottom w:val="single" w:sz="4" w:space="0" w:color="auto"/>
              <w:right w:val="single" w:sz="4" w:space="0" w:color="auto"/>
            </w:tcBorders>
            <w:shd w:val="clear" w:color="auto" w:fill="DFA312"/>
            <w:noWrap/>
            <w:vAlign w:val="bottom"/>
            <w:hideMark/>
          </w:tcPr>
          <w:p w:rsidR="00B52AAC" w:rsidRPr="0015646E" w:rsidRDefault="00B52AAC" w:rsidP="0036425A">
            <w:pPr>
              <w:jc w:val="center"/>
              <w:rPr>
                <w:rFonts w:ascii="Verdana" w:hAnsi="Verdana" w:cs="Arial"/>
                <w:b/>
                <w:bCs/>
                <w:color w:val="000000"/>
                <w:sz w:val="20"/>
                <w:szCs w:val="20"/>
              </w:rPr>
            </w:pPr>
            <w:r w:rsidRPr="0015646E">
              <w:rPr>
                <w:rFonts w:ascii="Verdana" w:hAnsi="Verdana" w:cs="Arial"/>
                <w:b/>
                <w:bCs/>
                <w:color w:val="000000"/>
                <w:sz w:val="20"/>
                <w:szCs w:val="20"/>
              </w:rPr>
              <w:t>Durata contratto</w:t>
            </w:r>
          </w:p>
        </w:tc>
        <w:tc>
          <w:tcPr>
            <w:tcW w:w="1840" w:type="dxa"/>
            <w:tcBorders>
              <w:top w:val="single" w:sz="4" w:space="0" w:color="auto"/>
              <w:left w:val="nil"/>
              <w:bottom w:val="single" w:sz="4" w:space="0" w:color="auto"/>
              <w:right w:val="single" w:sz="4" w:space="0" w:color="auto"/>
            </w:tcBorders>
            <w:shd w:val="clear" w:color="auto" w:fill="DFA312"/>
            <w:noWrap/>
            <w:vAlign w:val="bottom"/>
            <w:hideMark/>
          </w:tcPr>
          <w:p w:rsidR="00B52AAC" w:rsidRPr="0015646E" w:rsidRDefault="00B52AAC" w:rsidP="0036425A">
            <w:pPr>
              <w:jc w:val="center"/>
              <w:rPr>
                <w:rFonts w:ascii="Verdana" w:hAnsi="Verdana" w:cs="Arial"/>
                <w:b/>
                <w:bCs/>
                <w:color w:val="000000"/>
                <w:sz w:val="20"/>
                <w:szCs w:val="20"/>
              </w:rPr>
            </w:pPr>
            <w:r w:rsidRPr="0015646E">
              <w:rPr>
                <w:rFonts w:ascii="Verdana" w:hAnsi="Verdana" w:cs="Arial"/>
                <w:b/>
                <w:bCs/>
                <w:color w:val="000000"/>
                <w:sz w:val="20"/>
                <w:szCs w:val="20"/>
              </w:rPr>
              <w:t>Peso in %</w:t>
            </w:r>
          </w:p>
        </w:tc>
      </w:tr>
      <w:tr w:rsidR="00B52AAC" w:rsidRPr="0015646E" w:rsidTr="0036425A">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52AAC" w:rsidRPr="0015646E" w:rsidRDefault="00B52AAC" w:rsidP="0036425A">
            <w:pPr>
              <w:rPr>
                <w:rFonts w:ascii="Verdana" w:hAnsi="Verdana" w:cs="Arial"/>
                <w:color w:val="000000"/>
                <w:sz w:val="20"/>
                <w:szCs w:val="20"/>
              </w:rPr>
            </w:pPr>
            <w:r w:rsidRPr="0015646E">
              <w:rPr>
                <w:rFonts w:ascii="Verdana" w:hAnsi="Verdana" w:cs="Arial"/>
                <w:color w:val="000000"/>
                <w:sz w:val="20"/>
                <w:szCs w:val="20"/>
              </w:rPr>
              <w:t>25-35 anni</w:t>
            </w:r>
          </w:p>
        </w:tc>
        <w:tc>
          <w:tcPr>
            <w:tcW w:w="1840" w:type="dxa"/>
            <w:tcBorders>
              <w:top w:val="nil"/>
              <w:left w:val="nil"/>
              <w:bottom w:val="single" w:sz="4" w:space="0" w:color="auto"/>
              <w:right w:val="single" w:sz="4" w:space="0" w:color="auto"/>
            </w:tcBorders>
            <w:shd w:val="clear" w:color="auto" w:fill="auto"/>
            <w:noWrap/>
            <w:vAlign w:val="bottom"/>
            <w:hideMark/>
          </w:tcPr>
          <w:p w:rsidR="00B52AAC" w:rsidRPr="0015646E" w:rsidRDefault="00B52AAC" w:rsidP="0036425A">
            <w:pPr>
              <w:jc w:val="center"/>
              <w:rPr>
                <w:rFonts w:ascii="Verdana" w:hAnsi="Verdana" w:cs="Arial"/>
                <w:color w:val="000000"/>
                <w:sz w:val="20"/>
                <w:szCs w:val="20"/>
              </w:rPr>
            </w:pPr>
            <w:r w:rsidRPr="0015646E">
              <w:rPr>
                <w:rFonts w:ascii="Verdana" w:hAnsi="Verdana" w:cs="Arial"/>
                <w:color w:val="000000"/>
                <w:sz w:val="20"/>
                <w:szCs w:val="20"/>
              </w:rPr>
              <w:t>25,6%</w:t>
            </w:r>
          </w:p>
        </w:tc>
      </w:tr>
      <w:tr w:rsidR="00B52AAC" w:rsidRPr="0015646E" w:rsidTr="0036425A">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52AAC" w:rsidRPr="0015646E" w:rsidRDefault="00B52AAC" w:rsidP="0036425A">
            <w:pPr>
              <w:rPr>
                <w:rFonts w:ascii="Verdana" w:hAnsi="Verdana" w:cs="Arial"/>
                <w:color w:val="000000"/>
                <w:sz w:val="20"/>
                <w:szCs w:val="20"/>
              </w:rPr>
            </w:pPr>
            <w:r w:rsidRPr="0015646E">
              <w:rPr>
                <w:rFonts w:ascii="Verdana" w:hAnsi="Verdana" w:cs="Arial"/>
                <w:color w:val="000000"/>
                <w:sz w:val="20"/>
                <w:szCs w:val="20"/>
              </w:rPr>
              <w:t>36-45 anni</w:t>
            </w:r>
          </w:p>
        </w:tc>
        <w:tc>
          <w:tcPr>
            <w:tcW w:w="1840" w:type="dxa"/>
            <w:tcBorders>
              <w:top w:val="nil"/>
              <w:left w:val="nil"/>
              <w:bottom w:val="single" w:sz="4" w:space="0" w:color="auto"/>
              <w:right w:val="single" w:sz="4" w:space="0" w:color="auto"/>
            </w:tcBorders>
            <w:shd w:val="clear" w:color="auto" w:fill="auto"/>
            <w:noWrap/>
            <w:vAlign w:val="bottom"/>
            <w:hideMark/>
          </w:tcPr>
          <w:p w:rsidR="00B52AAC" w:rsidRPr="0015646E" w:rsidRDefault="00B52AAC" w:rsidP="0036425A">
            <w:pPr>
              <w:jc w:val="center"/>
              <w:rPr>
                <w:rFonts w:ascii="Verdana" w:hAnsi="Verdana" w:cs="Arial"/>
                <w:color w:val="000000"/>
                <w:sz w:val="20"/>
                <w:szCs w:val="20"/>
              </w:rPr>
            </w:pPr>
            <w:r w:rsidRPr="0015646E">
              <w:rPr>
                <w:rFonts w:ascii="Verdana" w:hAnsi="Verdana" w:cs="Arial"/>
                <w:color w:val="000000"/>
                <w:sz w:val="20"/>
                <w:szCs w:val="20"/>
              </w:rPr>
              <w:t>57,0%</w:t>
            </w:r>
          </w:p>
        </w:tc>
      </w:tr>
      <w:tr w:rsidR="00B52AAC" w:rsidRPr="0015646E" w:rsidTr="0036425A">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52AAC" w:rsidRPr="0015646E" w:rsidRDefault="00B52AAC" w:rsidP="0036425A">
            <w:pPr>
              <w:rPr>
                <w:rFonts w:ascii="Verdana" w:hAnsi="Verdana" w:cs="Arial"/>
                <w:color w:val="000000"/>
                <w:sz w:val="20"/>
                <w:szCs w:val="20"/>
              </w:rPr>
            </w:pPr>
            <w:r w:rsidRPr="0015646E">
              <w:rPr>
                <w:rFonts w:ascii="Verdana" w:hAnsi="Verdana" w:cs="Arial"/>
                <w:color w:val="000000"/>
                <w:sz w:val="20"/>
                <w:szCs w:val="20"/>
              </w:rPr>
              <w:t>46-55 anni</w:t>
            </w:r>
          </w:p>
        </w:tc>
        <w:tc>
          <w:tcPr>
            <w:tcW w:w="1840" w:type="dxa"/>
            <w:tcBorders>
              <w:top w:val="nil"/>
              <w:left w:val="nil"/>
              <w:bottom w:val="single" w:sz="4" w:space="0" w:color="auto"/>
              <w:right w:val="single" w:sz="4" w:space="0" w:color="auto"/>
            </w:tcBorders>
            <w:shd w:val="clear" w:color="auto" w:fill="auto"/>
            <w:noWrap/>
            <w:vAlign w:val="bottom"/>
            <w:hideMark/>
          </w:tcPr>
          <w:p w:rsidR="00B52AAC" w:rsidRPr="0015646E" w:rsidRDefault="00B52AAC" w:rsidP="0036425A">
            <w:pPr>
              <w:jc w:val="center"/>
              <w:rPr>
                <w:rFonts w:ascii="Verdana" w:hAnsi="Verdana" w:cs="Arial"/>
                <w:color w:val="000000"/>
                <w:sz w:val="20"/>
                <w:szCs w:val="20"/>
              </w:rPr>
            </w:pPr>
            <w:r w:rsidRPr="0015646E">
              <w:rPr>
                <w:rFonts w:ascii="Verdana" w:hAnsi="Verdana" w:cs="Arial"/>
                <w:color w:val="000000"/>
                <w:sz w:val="20"/>
                <w:szCs w:val="20"/>
              </w:rPr>
              <w:t>16,4%</w:t>
            </w:r>
          </w:p>
        </w:tc>
      </w:tr>
      <w:tr w:rsidR="00B52AAC" w:rsidRPr="0015646E" w:rsidTr="0036425A">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52AAC" w:rsidRPr="0015646E" w:rsidRDefault="00B52AAC" w:rsidP="0036425A">
            <w:pPr>
              <w:rPr>
                <w:rFonts w:ascii="Verdana" w:hAnsi="Verdana" w:cs="Arial"/>
                <w:color w:val="000000"/>
                <w:sz w:val="20"/>
                <w:szCs w:val="20"/>
              </w:rPr>
            </w:pPr>
            <w:r w:rsidRPr="0015646E">
              <w:rPr>
                <w:rFonts w:ascii="Verdana" w:hAnsi="Verdana" w:cs="Arial"/>
                <w:color w:val="000000"/>
                <w:sz w:val="20"/>
                <w:szCs w:val="20"/>
              </w:rPr>
              <w:t>over 55</w:t>
            </w:r>
          </w:p>
        </w:tc>
        <w:tc>
          <w:tcPr>
            <w:tcW w:w="1840" w:type="dxa"/>
            <w:tcBorders>
              <w:top w:val="nil"/>
              <w:left w:val="nil"/>
              <w:bottom w:val="single" w:sz="4" w:space="0" w:color="auto"/>
              <w:right w:val="single" w:sz="4" w:space="0" w:color="auto"/>
            </w:tcBorders>
            <w:shd w:val="clear" w:color="auto" w:fill="auto"/>
            <w:noWrap/>
            <w:vAlign w:val="bottom"/>
            <w:hideMark/>
          </w:tcPr>
          <w:p w:rsidR="00B52AAC" w:rsidRPr="0015646E" w:rsidRDefault="00B52AAC" w:rsidP="0036425A">
            <w:pPr>
              <w:jc w:val="center"/>
              <w:rPr>
                <w:rFonts w:ascii="Verdana" w:hAnsi="Verdana" w:cs="Arial"/>
                <w:color w:val="000000"/>
                <w:sz w:val="20"/>
                <w:szCs w:val="20"/>
              </w:rPr>
            </w:pPr>
            <w:r w:rsidRPr="0015646E">
              <w:rPr>
                <w:rFonts w:ascii="Verdana" w:hAnsi="Verdana" w:cs="Arial"/>
                <w:color w:val="000000"/>
                <w:sz w:val="20"/>
                <w:szCs w:val="20"/>
              </w:rPr>
              <w:t>1,0%</w:t>
            </w:r>
          </w:p>
        </w:tc>
      </w:tr>
      <w:tr w:rsidR="00B52AAC" w:rsidRPr="005D3ED7" w:rsidTr="005639F7">
        <w:trPr>
          <w:trHeight w:val="315"/>
          <w:jc w:val="center"/>
        </w:trPr>
        <w:tc>
          <w:tcPr>
            <w:tcW w:w="2080" w:type="dxa"/>
            <w:tcBorders>
              <w:top w:val="single" w:sz="4" w:space="0" w:color="auto"/>
              <w:left w:val="single" w:sz="4" w:space="0" w:color="auto"/>
              <w:bottom w:val="single" w:sz="4" w:space="0" w:color="auto"/>
              <w:right w:val="nil"/>
            </w:tcBorders>
            <w:shd w:val="clear" w:color="auto" w:fill="DFA312"/>
            <w:noWrap/>
            <w:vAlign w:val="bottom"/>
            <w:hideMark/>
          </w:tcPr>
          <w:p w:rsidR="00B52AAC" w:rsidRPr="005D3ED7" w:rsidRDefault="00B52AAC" w:rsidP="0036425A">
            <w:pPr>
              <w:rPr>
                <w:rFonts w:ascii="Verdana" w:hAnsi="Verdana" w:cs="Arial"/>
                <w:color w:val="000000"/>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auto" w:fill="DFA312"/>
            <w:noWrap/>
            <w:vAlign w:val="bottom"/>
            <w:hideMark/>
          </w:tcPr>
          <w:p w:rsidR="00B52AAC" w:rsidRPr="005D3ED7" w:rsidRDefault="00B52AAC" w:rsidP="0036425A">
            <w:pPr>
              <w:jc w:val="center"/>
              <w:rPr>
                <w:rFonts w:ascii="Verdana" w:hAnsi="Verdana" w:cs="Arial"/>
                <w:b/>
                <w:bCs/>
                <w:color w:val="000000"/>
                <w:sz w:val="18"/>
                <w:szCs w:val="18"/>
              </w:rPr>
            </w:pPr>
            <w:r w:rsidRPr="005D3ED7">
              <w:rPr>
                <w:rFonts w:ascii="Verdana" w:hAnsi="Verdana" w:cs="Arial"/>
                <w:b/>
                <w:bCs/>
                <w:color w:val="000000"/>
                <w:sz w:val="18"/>
                <w:szCs w:val="18"/>
              </w:rPr>
              <w:t>100,0%</w:t>
            </w:r>
          </w:p>
        </w:tc>
      </w:tr>
    </w:tbl>
    <w:p w:rsidR="00B52AAC" w:rsidRPr="005D3ED7" w:rsidRDefault="00B52AAC" w:rsidP="00B52AAC">
      <w:pPr>
        <w:pStyle w:val="Elencoacolori-Colore11"/>
        <w:spacing w:after="0" w:line="240" w:lineRule="auto"/>
        <w:ind w:left="0"/>
        <w:jc w:val="both"/>
        <w:rPr>
          <w:rFonts w:ascii="Verdana" w:hAnsi="Verdana"/>
          <w:sz w:val="18"/>
          <w:szCs w:val="18"/>
        </w:rPr>
      </w:pPr>
      <w:r w:rsidRPr="005D3ED7">
        <w:rPr>
          <w:rFonts w:ascii="Verdana" w:hAnsi="Verdana"/>
          <w:i/>
          <w:sz w:val="18"/>
          <w:szCs w:val="18"/>
        </w:rPr>
        <w:t>Fonte: Rapporto Assofranchising Italia 2013 –  Strutture, Tendenze e Scenari. A cura di Assofranchising. Realizzato ed elaborato dal Servizio Studi Assofranchising e dall’Osservatorio Permanente sul Franchising.</w:t>
      </w:r>
    </w:p>
    <w:p w:rsidR="00B52AAC" w:rsidRDefault="00B52AAC" w:rsidP="00B52AAC">
      <w:pPr>
        <w:pStyle w:val="Elencoacolori-Colore11"/>
        <w:spacing w:after="0" w:line="240" w:lineRule="auto"/>
        <w:ind w:left="0"/>
        <w:jc w:val="both"/>
        <w:rPr>
          <w:rFonts w:ascii="Verdana" w:hAnsi="Verdana"/>
          <w:i/>
          <w:sz w:val="20"/>
          <w:szCs w:val="20"/>
        </w:rPr>
      </w:pPr>
    </w:p>
    <w:p w:rsidR="00A93378" w:rsidRDefault="00A93378" w:rsidP="00A93378">
      <w:pPr>
        <w:pStyle w:val="Elencoacolori-Colore11"/>
        <w:ind w:left="0"/>
        <w:jc w:val="both"/>
        <w:rPr>
          <w:rFonts w:ascii="Verdana" w:hAnsi="Verdana"/>
          <w:b/>
          <w:sz w:val="20"/>
          <w:szCs w:val="20"/>
        </w:rPr>
      </w:pPr>
    </w:p>
    <w:p w:rsidR="00A93378" w:rsidRPr="00A93378" w:rsidRDefault="00A93378" w:rsidP="00A93378">
      <w:pPr>
        <w:pStyle w:val="Elencoacolori-Colore11"/>
        <w:ind w:left="0"/>
        <w:jc w:val="both"/>
        <w:rPr>
          <w:rFonts w:ascii="Verdana" w:hAnsi="Verdana"/>
          <w:b/>
          <w:sz w:val="20"/>
          <w:szCs w:val="20"/>
        </w:rPr>
      </w:pPr>
      <w:r w:rsidRPr="00A93378">
        <w:rPr>
          <w:rFonts w:ascii="Verdana" w:hAnsi="Verdana"/>
          <w:b/>
          <w:sz w:val="20"/>
          <w:szCs w:val="20"/>
        </w:rPr>
        <w:t>Uno sguardo al femminile</w:t>
      </w:r>
    </w:p>
    <w:p w:rsidR="00A93378" w:rsidRPr="00A93378" w:rsidRDefault="00A93378" w:rsidP="00A93378">
      <w:pPr>
        <w:pStyle w:val="Elencoacolori-Colore11"/>
        <w:ind w:left="0"/>
        <w:jc w:val="both"/>
        <w:rPr>
          <w:rFonts w:ascii="Verdana" w:hAnsi="Verdana"/>
          <w:sz w:val="20"/>
          <w:szCs w:val="20"/>
        </w:rPr>
      </w:pPr>
      <w:r w:rsidRPr="00A93378">
        <w:rPr>
          <w:rFonts w:ascii="Verdana" w:hAnsi="Verdana"/>
          <w:sz w:val="20"/>
          <w:szCs w:val="20"/>
        </w:rPr>
        <w:t>Anche nel 2013 i punti vendita di imprenditrici franchisee sono stati pari al 38%, confermando che</w:t>
      </w:r>
      <w:r>
        <w:rPr>
          <w:rFonts w:ascii="Verdana" w:hAnsi="Verdana"/>
          <w:sz w:val="20"/>
          <w:szCs w:val="20"/>
        </w:rPr>
        <w:t xml:space="preserve"> </w:t>
      </w:r>
      <w:r w:rsidRPr="00A93378">
        <w:rPr>
          <w:rFonts w:ascii="Verdana" w:hAnsi="Verdana"/>
          <w:sz w:val="20"/>
          <w:szCs w:val="20"/>
        </w:rPr>
        <w:t>il Franchising continua a rappresentare una valida alternativa al lavoro dipendente, così come una</w:t>
      </w:r>
      <w:r>
        <w:rPr>
          <w:rFonts w:ascii="Verdana" w:hAnsi="Verdana"/>
          <w:sz w:val="20"/>
          <w:szCs w:val="20"/>
        </w:rPr>
        <w:t xml:space="preserve"> </w:t>
      </w:r>
      <w:r w:rsidRPr="00A93378">
        <w:rPr>
          <w:rFonts w:ascii="Verdana" w:hAnsi="Verdana"/>
          <w:sz w:val="20"/>
          <w:szCs w:val="20"/>
        </w:rPr>
        <w:t>scelta d’imprenditorialità di tutto rispetto e valore.</w:t>
      </w:r>
    </w:p>
    <w:p w:rsidR="00A93378" w:rsidRDefault="00A93378" w:rsidP="00B52AAC">
      <w:pPr>
        <w:pStyle w:val="Elencoacolori-Colore11"/>
        <w:spacing w:after="0" w:line="240" w:lineRule="auto"/>
        <w:ind w:left="0"/>
        <w:jc w:val="both"/>
        <w:rPr>
          <w:rFonts w:ascii="Verdana" w:hAnsi="Verdana"/>
          <w:i/>
          <w:sz w:val="20"/>
          <w:szCs w:val="20"/>
        </w:rPr>
      </w:pPr>
    </w:p>
    <w:p w:rsidR="00A93378" w:rsidRPr="0015646E" w:rsidRDefault="00A93378" w:rsidP="00B52AAC">
      <w:pPr>
        <w:pStyle w:val="Elencoacolori-Colore11"/>
        <w:spacing w:after="0" w:line="240" w:lineRule="auto"/>
        <w:ind w:left="0"/>
        <w:jc w:val="both"/>
        <w:rPr>
          <w:rFonts w:ascii="Verdana" w:hAnsi="Verdana"/>
          <w:i/>
          <w:sz w:val="20"/>
          <w:szCs w:val="20"/>
        </w:rPr>
      </w:pPr>
      <w:bookmarkStart w:id="4" w:name="_GoBack"/>
      <w:bookmarkEnd w:id="4"/>
    </w:p>
    <w:p w:rsidR="0063512C" w:rsidRPr="005D3ED7" w:rsidRDefault="005D3ED7" w:rsidP="00EB7A4F">
      <w:pPr>
        <w:spacing w:line="276" w:lineRule="auto"/>
        <w:jc w:val="both"/>
        <w:rPr>
          <w:rFonts w:ascii="Verdana" w:hAnsi="Verdana"/>
          <w:b/>
          <w:sz w:val="20"/>
          <w:szCs w:val="20"/>
        </w:rPr>
      </w:pPr>
      <w:r w:rsidRPr="005D3ED7">
        <w:rPr>
          <w:rFonts w:ascii="Verdana" w:hAnsi="Verdana"/>
          <w:b/>
          <w:sz w:val="20"/>
          <w:szCs w:val="20"/>
        </w:rPr>
        <w:t>Conclusioni</w:t>
      </w:r>
    </w:p>
    <w:p w:rsidR="00B52AAC" w:rsidRPr="0015646E" w:rsidRDefault="00B52AAC" w:rsidP="00EB7A4F">
      <w:pPr>
        <w:spacing w:line="276" w:lineRule="auto"/>
        <w:jc w:val="both"/>
        <w:rPr>
          <w:rFonts w:ascii="Verdana" w:hAnsi="Verdana"/>
          <w:sz w:val="20"/>
          <w:szCs w:val="20"/>
        </w:rPr>
      </w:pPr>
      <w:r w:rsidRPr="0015646E">
        <w:rPr>
          <w:rFonts w:ascii="Verdana" w:hAnsi="Verdana"/>
          <w:sz w:val="20"/>
          <w:szCs w:val="20"/>
        </w:rPr>
        <w:t xml:space="preserve">L’osservazione dei dati rilevati nell’anno 2012 consente di apprezzare il Franchising come strumento di innovazione ed al contempo di flessibilità della distribuzione italiana in un contesto congiunturale di grave difficoltà economica per il Paese ma anche per consumatori, lavoratori ed imprenditori. </w:t>
      </w:r>
    </w:p>
    <w:p w:rsidR="00B52AAC" w:rsidRPr="0015646E" w:rsidRDefault="00B52AAC" w:rsidP="00EB7A4F">
      <w:pPr>
        <w:spacing w:line="276" w:lineRule="auto"/>
        <w:jc w:val="both"/>
        <w:rPr>
          <w:rFonts w:ascii="Verdana" w:hAnsi="Verdana"/>
          <w:sz w:val="20"/>
          <w:szCs w:val="20"/>
        </w:rPr>
      </w:pPr>
      <w:r w:rsidRPr="0015646E">
        <w:rPr>
          <w:rFonts w:ascii="Verdana" w:hAnsi="Verdana"/>
          <w:sz w:val="20"/>
          <w:szCs w:val="20"/>
        </w:rPr>
        <w:t>Il Franchising ha inoltre dimostrato, anche mediante lo studio delle serie storiche 2007-2013, la capacità di resistere, sotto il profilo del modello imprenditoriale, alla grave e perdurante crisi economica, ma ciò che è ancor più significativo è l’apprezzamento dei consumatori per un modello distributivo in grado di rispondere alle esigenze di un mercato orientato verso il miglior rapporto prezzo-qualità. In questo difficile quadro economico le reti in Franch</w:t>
      </w:r>
      <w:r w:rsidR="00943D5C" w:rsidRPr="0015646E">
        <w:rPr>
          <w:rFonts w:ascii="Verdana" w:hAnsi="Verdana"/>
          <w:sz w:val="20"/>
          <w:szCs w:val="20"/>
        </w:rPr>
        <w:t xml:space="preserve">ising sembrano ben rappresentare l’obiettivo di medio-lungo termine del </w:t>
      </w:r>
      <w:proofErr w:type="spellStart"/>
      <w:r w:rsidR="00943D5C" w:rsidRPr="00F75EF6">
        <w:rPr>
          <w:rFonts w:ascii="Verdana" w:hAnsi="Verdana"/>
          <w:i/>
          <w:sz w:val="20"/>
          <w:szCs w:val="20"/>
        </w:rPr>
        <w:t>retail</w:t>
      </w:r>
      <w:proofErr w:type="spellEnd"/>
      <w:r w:rsidR="00943D5C" w:rsidRPr="0015646E">
        <w:rPr>
          <w:rFonts w:ascii="Verdana" w:hAnsi="Verdana"/>
          <w:sz w:val="20"/>
          <w:szCs w:val="20"/>
        </w:rPr>
        <w:t xml:space="preserve"> italiano verso cui tendere </w:t>
      </w:r>
      <w:r w:rsidRPr="0015646E">
        <w:rPr>
          <w:rFonts w:ascii="Verdana" w:hAnsi="Verdana"/>
          <w:sz w:val="20"/>
          <w:szCs w:val="20"/>
        </w:rPr>
        <w:t xml:space="preserve"> ovvero: “</w:t>
      </w:r>
      <w:r w:rsidRPr="0015646E">
        <w:rPr>
          <w:rFonts w:ascii="Verdana" w:hAnsi="Verdana"/>
          <w:i/>
          <w:sz w:val="20"/>
          <w:szCs w:val="20"/>
        </w:rPr>
        <w:t>piccole imprese unite in grandi reti per competere dentro e fuori i confini nazionali</w:t>
      </w:r>
      <w:r w:rsidRPr="0015646E">
        <w:rPr>
          <w:rFonts w:ascii="Verdana" w:hAnsi="Verdana"/>
          <w:sz w:val="20"/>
          <w:szCs w:val="20"/>
        </w:rPr>
        <w:t>”.</w:t>
      </w:r>
    </w:p>
    <w:p w:rsidR="00B0199B" w:rsidRPr="0015646E" w:rsidRDefault="00B0199B" w:rsidP="00EB7A4F">
      <w:pPr>
        <w:spacing w:line="276" w:lineRule="auto"/>
        <w:rPr>
          <w:rFonts w:ascii="Verdana" w:hAnsi="Verdana"/>
          <w:sz w:val="20"/>
          <w:szCs w:val="20"/>
        </w:rPr>
      </w:pPr>
    </w:p>
    <w:sectPr w:rsidR="00B0199B" w:rsidRPr="0015646E" w:rsidSect="00B36A0E">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F2" w:rsidRDefault="00B06AF2" w:rsidP="00B52AAC">
      <w:r>
        <w:separator/>
      </w:r>
    </w:p>
  </w:endnote>
  <w:endnote w:type="continuationSeparator" w:id="0">
    <w:p w:rsidR="00B06AF2" w:rsidRDefault="00B06AF2" w:rsidP="00B5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IKICO+TimesNewRomanPS">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HFNDO+Arial,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F2" w:rsidRDefault="00B06AF2" w:rsidP="00B52AAC">
      <w:r>
        <w:separator/>
      </w:r>
    </w:p>
  </w:footnote>
  <w:footnote w:type="continuationSeparator" w:id="0">
    <w:p w:rsidR="00B06AF2" w:rsidRDefault="00B06AF2" w:rsidP="00B52AAC">
      <w:r>
        <w:continuationSeparator/>
      </w:r>
    </w:p>
  </w:footnote>
  <w:footnote w:id="1">
    <w:p w:rsidR="00B66FE0" w:rsidRDefault="00B66FE0" w:rsidP="00B52AAC">
      <w:pPr>
        <w:pStyle w:val="Testonotaapidipagina"/>
      </w:pPr>
      <w:r w:rsidRPr="006E216A">
        <w:rPr>
          <w:rStyle w:val="Rimandonotaapidipagina"/>
        </w:rPr>
        <w:footnoteRef/>
      </w:r>
      <w:r w:rsidRPr="006E216A">
        <w:t xml:space="preserve"> </w:t>
      </w:r>
      <w:r w:rsidRPr="006E216A">
        <w:rPr>
          <w:rFonts w:ascii="Times New Roman" w:hAnsi="Times New Roman"/>
        </w:rPr>
        <w:t>Sono state considerate solamente le reti italiane presenti all'estero con almeno 3 punti vendita in Franchising.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A4F" w:rsidRDefault="00B36A0E">
    <w:pPr>
      <w:pStyle w:val="Intestazione"/>
    </w:pPr>
    <w:r>
      <w:rPr>
        <w:noProof/>
      </w:rPr>
      <w:drawing>
        <wp:anchor distT="0" distB="0" distL="114300" distR="114300" simplePos="0" relativeHeight="251658240" behindDoc="1" locked="1" layoutInCell="1" allowOverlap="1" wp14:anchorId="57717FBE" wp14:editId="383E7770">
          <wp:simplePos x="723900" y="447675"/>
          <wp:positionH relativeFrom="page">
            <wp:align>left</wp:align>
          </wp:positionH>
          <wp:positionV relativeFrom="page">
            <wp:align>top</wp:align>
          </wp:positionV>
          <wp:extent cx="7578090" cy="2095500"/>
          <wp:effectExtent l="0" t="0" r="381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 documenti.jpg"/>
                  <pic:cNvPicPr/>
                </pic:nvPicPr>
                <pic:blipFill rotWithShape="1">
                  <a:blip r:embed="rId1">
                    <a:extLst>
                      <a:ext uri="{28A0092B-C50C-407E-A947-70E740481C1C}">
                        <a14:useLocalDpi xmlns:a14="http://schemas.microsoft.com/office/drawing/2010/main" val="0"/>
                      </a:ext>
                    </a:extLst>
                  </a:blip>
                  <a:srcRect b="3084"/>
                  <a:stretch/>
                </pic:blipFill>
                <pic:spPr bwMode="auto">
                  <a:xfrm>
                    <a:off x="0" y="0"/>
                    <a:ext cx="7596000" cy="2100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C63"/>
    <w:multiLevelType w:val="hybridMultilevel"/>
    <w:tmpl w:val="749AAE10"/>
    <w:lvl w:ilvl="0" w:tplc="CF22DB4C">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656F9F"/>
    <w:multiLevelType w:val="hybridMultilevel"/>
    <w:tmpl w:val="D28E39B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9842CF0"/>
    <w:multiLevelType w:val="multilevel"/>
    <w:tmpl w:val="E78EBE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1982C10"/>
    <w:multiLevelType w:val="hybridMultilevel"/>
    <w:tmpl w:val="6F6C1B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F72B8D"/>
    <w:multiLevelType w:val="hybridMultilevel"/>
    <w:tmpl w:val="1A1C1D6C"/>
    <w:lvl w:ilvl="0" w:tplc="07D27934">
      <w:start w:val="1"/>
      <w:numFmt w:val="decimal"/>
      <w:lvlText w:val="%1."/>
      <w:lvlJc w:val="left"/>
      <w:pPr>
        <w:ind w:left="1080" w:hanging="360"/>
      </w:pPr>
      <w:rPr>
        <w:rFonts w:ascii="Times New Roman" w:eastAsia="Times New Roman" w:hAnsi="Times New Roman" w:cs="Times New Roman"/>
      </w:rPr>
    </w:lvl>
    <w:lvl w:ilvl="1" w:tplc="04100019">
      <w:start w:val="1"/>
      <w:numFmt w:val="lowerLetter"/>
      <w:lvlText w:val="%2."/>
      <w:lvlJc w:val="left"/>
      <w:pPr>
        <w:ind w:left="1800" w:hanging="360"/>
      </w:pPr>
    </w:lvl>
    <w:lvl w:ilvl="2" w:tplc="299CB35E">
      <w:start w:val="1"/>
      <w:numFmt w:val="bullet"/>
      <w:lvlText w:val="-"/>
      <w:lvlJc w:val="left"/>
      <w:pPr>
        <w:ind w:left="2700" w:hanging="360"/>
      </w:pPr>
      <w:rPr>
        <w:rFonts w:ascii="Calibri" w:eastAsia="Times New Roman" w:hAnsi="Calibri" w:cs="Times New Roman"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C3E28D5"/>
    <w:multiLevelType w:val="hybridMultilevel"/>
    <w:tmpl w:val="2DF0D0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509099D"/>
    <w:multiLevelType w:val="hybridMultilevel"/>
    <w:tmpl w:val="F4F058F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9874866"/>
    <w:multiLevelType w:val="hybridMultilevel"/>
    <w:tmpl w:val="EC8C56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D5B3009"/>
    <w:multiLevelType w:val="hybridMultilevel"/>
    <w:tmpl w:val="9998C498"/>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2DDF12FF"/>
    <w:multiLevelType w:val="multilevel"/>
    <w:tmpl w:val="E78EBE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F534268"/>
    <w:multiLevelType w:val="hybridMultilevel"/>
    <w:tmpl w:val="5AA28918"/>
    <w:lvl w:ilvl="0" w:tplc="028ADBD6">
      <w:start w:val="18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A81044"/>
    <w:multiLevelType w:val="hybridMultilevel"/>
    <w:tmpl w:val="EC8C56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B532D7E"/>
    <w:multiLevelType w:val="hybridMultilevel"/>
    <w:tmpl w:val="0374DAE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1604B82"/>
    <w:multiLevelType w:val="hybridMultilevel"/>
    <w:tmpl w:val="F1480C8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9446EBF"/>
    <w:multiLevelType w:val="hybridMultilevel"/>
    <w:tmpl w:val="F1480C8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B45973"/>
    <w:multiLevelType w:val="hybridMultilevel"/>
    <w:tmpl w:val="EC8C56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46872BD"/>
    <w:multiLevelType w:val="hybridMultilevel"/>
    <w:tmpl w:val="00C292BE"/>
    <w:lvl w:ilvl="0" w:tplc="1A64F51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7576661"/>
    <w:multiLevelType w:val="hybridMultilevel"/>
    <w:tmpl w:val="C41CFFC8"/>
    <w:lvl w:ilvl="0" w:tplc="1E1EDFA2">
      <w:numFmt w:val="bullet"/>
      <w:lvlText w:val="-"/>
      <w:lvlJc w:val="left"/>
      <w:pPr>
        <w:tabs>
          <w:tab w:val="num" w:pos="0"/>
        </w:tabs>
        <w:ind w:left="357" w:hanging="35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75E4BE3"/>
    <w:multiLevelType w:val="hybridMultilevel"/>
    <w:tmpl w:val="F9CC8E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7B6709C"/>
    <w:multiLevelType w:val="hybridMultilevel"/>
    <w:tmpl w:val="13F03E8C"/>
    <w:lvl w:ilvl="0" w:tplc="1E1EDFA2">
      <w:numFmt w:val="bullet"/>
      <w:lvlText w:val="-"/>
      <w:lvlJc w:val="left"/>
      <w:pPr>
        <w:tabs>
          <w:tab w:val="num" w:pos="0"/>
        </w:tabs>
        <w:ind w:left="357" w:hanging="357"/>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0D440A0"/>
    <w:multiLevelType w:val="hybridMultilevel"/>
    <w:tmpl w:val="D28E39B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7786333E"/>
    <w:multiLevelType w:val="hybridMultilevel"/>
    <w:tmpl w:val="6A165EC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C936C3E"/>
    <w:multiLevelType w:val="hybridMultilevel"/>
    <w:tmpl w:val="C17E7FD4"/>
    <w:lvl w:ilvl="0" w:tplc="1E56493C">
      <w:start w:val="1"/>
      <w:numFmt w:val="bullet"/>
      <w:lvlText w:val="•"/>
      <w:lvlJc w:val="left"/>
      <w:pPr>
        <w:tabs>
          <w:tab w:val="num" w:pos="720"/>
        </w:tabs>
        <w:ind w:left="720" w:hanging="360"/>
      </w:pPr>
      <w:rPr>
        <w:rFonts w:ascii="Arial" w:hAnsi="Arial" w:hint="default"/>
      </w:rPr>
    </w:lvl>
    <w:lvl w:ilvl="1" w:tplc="04100003">
      <w:start w:val="1342"/>
      <w:numFmt w:val="bullet"/>
      <w:lvlText w:val="–"/>
      <w:lvlJc w:val="left"/>
      <w:pPr>
        <w:tabs>
          <w:tab w:val="num" w:pos="1440"/>
        </w:tabs>
        <w:ind w:left="1440" w:hanging="360"/>
      </w:pPr>
      <w:rPr>
        <w:rFonts w:ascii="Arial" w:hAnsi="Arial" w:hint="default"/>
      </w:rPr>
    </w:lvl>
    <w:lvl w:ilvl="2" w:tplc="04100005" w:tentative="1">
      <w:start w:val="1"/>
      <w:numFmt w:val="bullet"/>
      <w:lvlText w:val="•"/>
      <w:lvlJc w:val="left"/>
      <w:pPr>
        <w:tabs>
          <w:tab w:val="num" w:pos="2160"/>
        </w:tabs>
        <w:ind w:left="2160" w:hanging="360"/>
      </w:pPr>
      <w:rPr>
        <w:rFonts w:ascii="Arial" w:hAnsi="Arial" w:hint="default"/>
      </w:rPr>
    </w:lvl>
    <w:lvl w:ilvl="3" w:tplc="04100001" w:tentative="1">
      <w:start w:val="1"/>
      <w:numFmt w:val="bullet"/>
      <w:lvlText w:val="•"/>
      <w:lvlJc w:val="left"/>
      <w:pPr>
        <w:tabs>
          <w:tab w:val="num" w:pos="2880"/>
        </w:tabs>
        <w:ind w:left="2880" w:hanging="360"/>
      </w:pPr>
      <w:rPr>
        <w:rFonts w:ascii="Arial" w:hAnsi="Arial" w:hint="default"/>
      </w:rPr>
    </w:lvl>
    <w:lvl w:ilvl="4" w:tplc="04100003" w:tentative="1">
      <w:start w:val="1"/>
      <w:numFmt w:val="bullet"/>
      <w:lvlText w:val="•"/>
      <w:lvlJc w:val="left"/>
      <w:pPr>
        <w:tabs>
          <w:tab w:val="num" w:pos="3600"/>
        </w:tabs>
        <w:ind w:left="3600" w:hanging="360"/>
      </w:pPr>
      <w:rPr>
        <w:rFonts w:ascii="Arial" w:hAnsi="Arial" w:hint="default"/>
      </w:rPr>
    </w:lvl>
    <w:lvl w:ilvl="5" w:tplc="04100005" w:tentative="1">
      <w:start w:val="1"/>
      <w:numFmt w:val="bullet"/>
      <w:lvlText w:val="•"/>
      <w:lvlJc w:val="left"/>
      <w:pPr>
        <w:tabs>
          <w:tab w:val="num" w:pos="4320"/>
        </w:tabs>
        <w:ind w:left="4320" w:hanging="360"/>
      </w:pPr>
      <w:rPr>
        <w:rFonts w:ascii="Arial" w:hAnsi="Arial" w:hint="default"/>
      </w:rPr>
    </w:lvl>
    <w:lvl w:ilvl="6" w:tplc="04100001" w:tentative="1">
      <w:start w:val="1"/>
      <w:numFmt w:val="bullet"/>
      <w:lvlText w:val="•"/>
      <w:lvlJc w:val="left"/>
      <w:pPr>
        <w:tabs>
          <w:tab w:val="num" w:pos="5040"/>
        </w:tabs>
        <w:ind w:left="5040" w:hanging="360"/>
      </w:pPr>
      <w:rPr>
        <w:rFonts w:ascii="Arial" w:hAnsi="Arial" w:hint="default"/>
      </w:rPr>
    </w:lvl>
    <w:lvl w:ilvl="7" w:tplc="04100003" w:tentative="1">
      <w:start w:val="1"/>
      <w:numFmt w:val="bullet"/>
      <w:lvlText w:val="•"/>
      <w:lvlJc w:val="left"/>
      <w:pPr>
        <w:tabs>
          <w:tab w:val="num" w:pos="5760"/>
        </w:tabs>
        <w:ind w:left="5760" w:hanging="360"/>
      </w:pPr>
      <w:rPr>
        <w:rFonts w:ascii="Arial" w:hAnsi="Arial" w:hint="default"/>
      </w:rPr>
    </w:lvl>
    <w:lvl w:ilvl="8" w:tplc="04100005" w:tentative="1">
      <w:start w:val="1"/>
      <w:numFmt w:val="bullet"/>
      <w:lvlText w:val="•"/>
      <w:lvlJc w:val="left"/>
      <w:pPr>
        <w:tabs>
          <w:tab w:val="num" w:pos="6480"/>
        </w:tabs>
        <w:ind w:left="6480" w:hanging="360"/>
      </w:pPr>
      <w:rPr>
        <w:rFonts w:ascii="Arial" w:hAnsi="Arial" w:hint="default"/>
      </w:rPr>
    </w:lvl>
  </w:abstractNum>
  <w:abstractNum w:abstractNumId="23">
    <w:nsid w:val="7FE36D40"/>
    <w:multiLevelType w:val="hybridMultilevel"/>
    <w:tmpl w:val="E826B7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22"/>
  </w:num>
  <w:num w:numId="3">
    <w:abstractNumId w:val="4"/>
  </w:num>
  <w:num w:numId="4">
    <w:abstractNumId w:val="5"/>
  </w:num>
  <w:num w:numId="5">
    <w:abstractNumId w:val="20"/>
  </w:num>
  <w:num w:numId="6">
    <w:abstractNumId w:val="12"/>
  </w:num>
  <w:num w:numId="7">
    <w:abstractNumId w:val="19"/>
  </w:num>
  <w:num w:numId="8">
    <w:abstractNumId w:val="1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15"/>
  </w:num>
  <w:num w:numId="16">
    <w:abstractNumId w:val="14"/>
  </w:num>
  <w:num w:numId="17">
    <w:abstractNumId w:val="18"/>
  </w:num>
  <w:num w:numId="18">
    <w:abstractNumId w:val="7"/>
  </w:num>
  <w:num w:numId="19">
    <w:abstractNumId w:val="11"/>
  </w:num>
  <w:num w:numId="20">
    <w:abstractNumId w:val="0"/>
  </w:num>
  <w:num w:numId="21">
    <w:abstractNumId w:val="16"/>
  </w:num>
  <w:num w:numId="22">
    <w:abstractNumId w:val="21"/>
  </w:num>
  <w:num w:numId="23">
    <w:abstractNumId w:val="10"/>
  </w:num>
  <w:num w:numId="24">
    <w:abstractNumId w:val="3"/>
  </w:num>
  <w:num w:numId="25">
    <w:abstractNumId w:val="9"/>
  </w:num>
  <w:num w:numId="26">
    <w:abstractNumId w:val="6"/>
  </w:num>
  <w:num w:numId="27">
    <w:abstractNumId w:val="2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62"/>
    <w:rsid w:val="00015667"/>
    <w:rsid w:val="00067C49"/>
    <w:rsid w:val="000B427B"/>
    <w:rsid w:val="00142F90"/>
    <w:rsid w:val="0015646E"/>
    <w:rsid w:val="00241C30"/>
    <w:rsid w:val="00246BB2"/>
    <w:rsid w:val="00254E54"/>
    <w:rsid w:val="002A51E6"/>
    <w:rsid w:val="0034002F"/>
    <w:rsid w:val="0036425A"/>
    <w:rsid w:val="00373501"/>
    <w:rsid w:val="003803E4"/>
    <w:rsid w:val="00397E8C"/>
    <w:rsid w:val="003C36A6"/>
    <w:rsid w:val="003D2038"/>
    <w:rsid w:val="003F523B"/>
    <w:rsid w:val="00424A54"/>
    <w:rsid w:val="00431939"/>
    <w:rsid w:val="004553EA"/>
    <w:rsid w:val="00455C50"/>
    <w:rsid w:val="00461EFF"/>
    <w:rsid w:val="00474006"/>
    <w:rsid w:val="00476D40"/>
    <w:rsid w:val="00483502"/>
    <w:rsid w:val="00494B61"/>
    <w:rsid w:val="004C10D8"/>
    <w:rsid w:val="00506399"/>
    <w:rsid w:val="005177D1"/>
    <w:rsid w:val="005375A2"/>
    <w:rsid w:val="00547C50"/>
    <w:rsid w:val="005639F7"/>
    <w:rsid w:val="005B3729"/>
    <w:rsid w:val="005C0A9C"/>
    <w:rsid w:val="005C1391"/>
    <w:rsid w:val="005C2638"/>
    <w:rsid w:val="005D3ED7"/>
    <w:rsid w:val="0061115C"/>
    <w:rsid w:val="006220E6"/>
    <w:rsid w:val="0063512C"/>
    <w:rsid w:val="00667FBD"/>
    <w:rsid w:val="006B0AA3"/>
    <w:rsid w:val="006C7362"/>
    <w:rsid w:val="006D0BEF"/>
    <w:rsid w:val="006D367B"/>
    <w:rsid w:val="006E76DA"/>
    <w:rsid w:val="00727E4E"/>
    <w:rsid w:val="00736FA1"/>
    <w:rsid w:val="00740660"/>
    <w:rsid w:val="00764811"/>
    <w:rsid w:val="007A1EF0"/>
    <w:rsid w:val="007A4BE2"/>
    <w:rsid w:val="007B0E8C"/>
    <w:rsid w:val="007B3E02"/>
    <w:rsid w:val="00821910"/>
    <w:rsid w:val="00831D2F"/>
    <w:rsid w:val="00860227"/>
    <w:rsid w:val="008E7BC0"/>
    <w:rsid w:val="00930D96"/>
    <w:rsid w:val="00943D5C"/>
    <w:rsid w:val="00976617"/>
    <w:rsid w:val="00A2754A"/>
    <w:rsid w:val="00A3031E"/>
    <w:rsid w:val="00A37D36"/>
    <w:rsid w:val="00A82CCC"/>
    <w:rsid w:val="00A85587"/>
    <w:rsid w:val="00A93378"/>
    <w:rsid w:val="00A9538A"/>
    <w:rsid w:val="00AB5D68"/>
    <w:rsid w:val="00B0199B"/>
    <w:rsid w:val="00B06AF2"/>
    <w:rsid w:val="00B11345"/>
    <w:rsid w:val="00B168DC"/>
    <w:rsid w:val="00B177F6"/>
    <w:rsid w:val="00B20E2D"/>
    <w:rsid w:val="00B36A0E"/>
    <w:rsid w:val="00B379A9"/>
    <w:rsid w:val="00B41166"/>
    <w:rsid w:val="00B52AAC"/>
    <w:rsid w:val="00B5786E"/>
    <w:rsid w:val="00B62073"/>
    <w:rsid w:val="00B66FE0"/>
    <w:rsid w:val="00B705B4"/>
    <w:rsid w:val="00BB7665"/>
    <w:rsid w:val="00C13C23"/>
    <w:rsid w:val="00C2609C"/>
    <w:rsid w:val="00C311F0"/>
    <w:rsid w:val="00CA1B1B"/>
    <w:rsid w:val="00CA7062"/>
    <w:rsid w:val="00D074B9"/>
    <w:rsid w:val="00D1015F"/>
    <w:rsid w:val="00D2520F"/>
    <w:rsid w:val="00D36C53"/>
    <w:rsid w:val="00D37C95"/>
    <w:rsid w:val="00DA3392"/>
    <w:rsid w:val="00DF4A4E"/>
    <w:rsid w:val="00E11E62"/>
    <w:rsid w:val="00E248FF"/>
    <w:rsid w:val="00E86E41"/>
    <w:rsid w:val="00EB7A4F"/>
    <w:rsid w:val="00ED0DBE"/>
    <w:rsid w:val="00EF064B"/>
    <w:rsid w:val="00F317D5"/>
    <w:rsid w:val="00F330FB"/>
    <w:rsid w:val="00F62F53"/>
    <w:rsid w:val="00F710F8"/>
    <w:rsid w:val="00F75EF6"/>
    <w:rsid w:val="00F87BE0"/>
    <w:rsid w:val="00F93D56"/>
    <w:rsid w:val="00FA7359"/>
    <w:rsid w:val="00FF65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Table Classic 1" w:uiPriority="0"/>
    <w:lsdException w:name="Table Classic 4" w:uiPriority="0"/>
    <w:lsdException w:name="Table Columns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002F"/>
    <w:pPr>
      <w:spacing w:after="0" w:line="240" w:lineRule="auto"/>
    </w:pPr>
  </w:style>
  <w:style w:type="paragraph" w:styleId="Titolo1">
    <w:name w:val="heading 1"/>
    <w:basedOn w:val="Normale"/>
    <w:next w:val="Normale"/>
    <w:link w:val="Titolo1Carattere"/>
    <w:qFormat/>
    <w:rsid w:val="00B52AAC"/>
    <w:pPr>
      <w:keepNext/>
      <w:spacing w:before="240" w:after="60"/>
      <w:jc w:val="both"/>
      <w:outlineLvl w:val="0"/>
    </w:pPr>
    <w:rPr>
      <w:rFonts w:ascii="Times New Roman" w:eastAsia="Times New Roman" w:hAnsi="Times New Roman" w:cs="Arial"/>
      <w:b/>
      <w:bCs/>
      <w:kern w:val="32"/>
      <w:sz w:val="24"/>
      <w:szCs w:val="32"/>
      <w:lang w:eastAsia="it-IT"/>
    </w:rPr>
  </w:style>
  <w:style w:type="paragraph" w:styleId="Titolo2">
    <w:name w:val="heading 2"/>
    <w:basedOn w:val="Normale"/>
    <w:next w:val="Normale"/>
    <w:link w:val="Titolo2Carattere"/>
    <w:qFormat/>
    <w:rsid w:val="00B52AAC"/>
    <w:pPr>
      <w:keepNext/>
      <w:outlineLvl w:val="1"/>
    </w:pPr>
    <w:rPr>
      <w:rFonts w:ascii="Times New Roman" w:eastAsia="Times New Roman" w:hAnsi="Times New Roman" w:cs="Times New Roman"/>
      <w:i/>
      <w:sz w:val="24"/>
      <w:szCs w:val="20"/>
      <w:lang w:eastAsia="it-IT"/>
    </w:rPr>
  </w:style>
  <w:style w:type="paragraph" w:styleId="Titolo3">
    <w:name w:val="heading 3"/>
    <w:basedOn w:val="Normale"/>
    <w:next w:val="Normale"/>
    <w:link w:val="Titolo3Carattere"/>
    <w:qFormat/>
    <w:rsid w:val="00B52AAC"/>
    <w:pPr>
      <w:keepNext/>
      <w:jc w:val="center"/>
      <w:outlineLvl w:val="2"/>
    </w:pPr>
    <w:rPr>
      <w:rFonts w:ascii="Times New Roman" w:eastAsia="Times New Roman" w:hAnsi="Times New Roman" w:cs="Times New Roman"/>
      <w:b/>
      <w:sz w:val="24"/>
      <w:szCs w:val="20"/>
      <w:lang w:eastAsia="it-IT"/>
    </w:rPr>
  </w:style>
  <w:style w:type="paragraph" w:styleId="Titolo4">
    <w:name w:val="heading 4"/>
    <w:basedOn w:val="Normale"/>
    <w:next w:val="Normale"/>
    <w:link w:val="Titolo4Carattere"/>
    <w:qFormat/>
    <w:rsid w:val="00B52AAC"/>
    <w:pPr>
      <w:keepNext/>
      <w:widowControl w:val="0"/>
      <w:spacing w:after="60" w:line="400" w:lineRule="exact"/>
      <w:jc w:val="both"/>
      <w:outlineLvl w:val="3"/>
    </w:pPr>
    <w:rPr>
      <w:rFonts w:ascii="Book Antiqua" w:eastAsia="Times New Roman" w:hAnsi="Book Antiqua" w:cs="Times New Roman"/>
      <w:b/>
      <w:bCs/>
      <w:i/>
      <w:iCs/>
      <w:szCs w:val="24"/>
      <w:lang w:eastAsia="it-IT" w:bidi="he-IL"/>
    </w:rPr>
  </w:style>
  <w:style w:type="paragraph" w:styleId="Titolo5">
    <w:name w:val="heading 5"/>
    <w:basedOn w:val="Normale"/>
    <w:next w:val="Normale"/>
    <w:link w:val="Titolo5Carattere"/>
    <w:qFormat/>
    <w:rsid w:val="00B52AAC"/>
    <w:pPr>
      <w:spacing w:before="240" w:after="60" w:line="276" w:lineRule="auto"/>
      <w:outlineLvl w:val="4"/>
    </w:pPr>
    <w:rPr>
      <w:rFonts w:ascii="Calibri" w:eastAsia="Times New Roman" w:hAnsi="Calibri" w:cs="Times New Roman"/>
      <w:b/>
      <w:bCs/>
      <w:i/>
      <w:iCs/>
      <w:sz w:val="26"/>
      <w:szCs w:val="26"/>
      <w:lang w:eastAsia="it-IT"/>
    </w:rPr>
  </w:style>
  <w:style w:type="paragraph" w:styleId="Titolo6">
    <w:name w:val="heading 6"/>
    <w:basedOn w:val="Normale"/>
    <w:next w:val="Normale"/>
    <w:link w:val="Titolo6Carattere"/>
    <w:qFormat/>
    <w:rsid w:val="00B52AAC"/>
    <w:pPr>
      <w:keepNext/>
      <w:widowControl w:val="0"/>
      <w:spacing w:after="60"/>
      <w:jc w:val="both"/>
      <w:outlineLvl w:val="5"/>
    </w:pPr>
    <w:rPr>
      <w:rFonts w:ascii="Book Antiqua" w:eastAsia="Times New Roman" w:hAnsi="Book Antiqua" w:cs="Times New Roman"/>
      <w:i/>
      <w:iCs/>
      <w:sz w:val="20"/>
      <w:szCs w:val="20"/>
      <w:lang w:eastAsia="it-IT" w:bidi="he-IL"/>
    </w:rPr>
  </w:style>
  <w:style w:type="paragraph" w:styleId="Titolo7">
    <w:name w:val="heading 7"/>
    <w:basedOn w:val="Normale"/>
    <w:next w:val="Normale"/>
    <w:link w:val="Titolo7Carattere"/>
    <w:qFormat/>
    <w:rsid w:val="00B52AAC"/>
    <w:pPr>
      <w:keepNext/>
      <w:outlineLvl w:val="6"/>
    </w:pPr>
    <w:rPr>
      <w:rFonts w:ascii="Times New Roman" w:eastAsia="Times New Roman" w:hAnsi="Times New Roman" w:cs="Times New Roman"/>
      <w:b/>
      <w:sz w:val="20"/>
      <w:szCs w:val="20"/>
      <w:lang w:eastAsia="it-IT"/>
    </w:rPr>
  </w:style>
  <w:style w:type="paragraph" w:styleId="Titolo8">
    <w:name w:val="heading 8"/>
    <w:basedOn w:val="Normale"/>
    <w:next w:val="Normale"/>
    <w:link w:val="Titolo8Carattere"/>
    <w:qFormat/>
    <w:rsid w:val="00B52AAC"/>
    <w:pPr>
      <w:keepNext/>
      <w:widowControl w:val="0"/>
      <w:spacing w:after="60"/>
      <w:ind w:right="567"/>
      <w:jc w:val="both"/>
      <w:outlineLvl w:val="7"/>
    </w:pPr>
    <w:rPr>
      <w:rFonts w:ascii="Times New Roman" w:eastAsia="Times New Roman" w:hAnsi="Times New Roman" w:cs="Times New Roman"/>
      <w:b/>
      <w:bCs/>
      <w:sz w:val="20"/>
      <w:szCs w:val="24"/>
      <w:lang w:eastAsia="it-IT"/>
    </w:rPr>
  </w:style>
  <w:style w:type="paragraph" w:styleId="Titolo9">
    <w:name w:val="heading 9"/>
    <w:basedOn w:val="Normale"/>
    <w:next w:val="Normale"/>
    <w:link w:val="Titolo9Carattere"/>
    <w:qFormat/>
    <w:rsid w:val="00B52AAC"/>
    <w:pPr>
      <w:keepNext/>
      <w:jc w:val="both"/>
      <w:outlineLvl w:val="8"/>
    </w:pPr>
    <w:rPr>
      <w:rFonts w:ascii="Times New Roman" w:eastAsia="Times New Roman" w:hAnsi="Times New Roman" w:cs="Times New Roman"/>
      <w: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34002F"/>
    <w:rPr>
      <w:rFonts w:ascii="Calibri" w:hAnsi="Calibri"/>
      <w:szCs w:val="21"/>
    </w:rPr>
  </w:style>
  <w:style w:type="character" w:customStyle="1" w:styleId="TestonormaleCarattere">
    <w:name w:val="Testo normale Carattere"/>
    <w:basedOn w:val="Carpredefinitoparagrafo"/>
    <w:link w:val="Testonormale"/>
    <w:uiPriority w:val="99"/>
    <w:semiHidden/>
    <w:rsid w:val="0034002F"/>
    <w:rPr>
      <w:rFonts w:ascii="Calibri" w:hAnsi="Calibri"/>
      <w:szCs w:val="21"/>
    </w:rPr>
  </w:style>
  <w:style w:type="character" w:styleId="Enfasigrassetto">
    <w:name w:val="Strong"/>
    <w:basedOn w:val="Carpredefinitoparagrafo"/>
    <w:qFormat/>
    <w:rsid w:val="00B379A9"/>
    <w:rPr>
      <w:b/>
      <w:bCs/>
    </w:rPr>
  </w:style>
  <w:style w:type="paragraph" w:styleId="NormaleWeb">
    <w:name w:val="Normal (Web)"/>
    <w:basedOn w:val="Normale"/>
    <w:uiPriority w:val="99"/>
    <w:semiHidden/>
    <w:unhideWhenUsed/>
    <w:rsid w:val="00B379A9"/>
    <w:pPr>
      <w:spacing w:after="150"/>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rsid w:val="00B52AAC"/>
    <w:rPr>
      <w:rFonts w:ascii="Times New Roman" w:eastAsia="Times New Roman" w:hAnsi="Times New Roman" w:cs="Arial"/>
      <w:b/>
      <w:bCs/>
      <w:kern w:val="32"/>
      <w:sz w:val="24"/>
      <w:szCs w:val="32"/>
      <w:lang w:eastAsia="it-IT"/>
    </w:rPr>
  </w:style>
  <w:style w:type="character" w:customStyle="1" w:styleId="Titolo2Carattere">
    <w:name w:val="Titolo 2 Carattere"/>
    <w:basedOn w:val="Carpredefinitoparagrafo"/>
    <w:link w:val="Titolo2"/>
    <w:rsid w:val="00B52AAC"/>
    <w:rPr>
      <w:rFonts w:ascii="Times New Roman" w:eastAsia="Times New Roman" w:hAnsi="Times New Roman" w:cs="Times New Roman"/>
      <w:i/>
      <w:sz w:val="24"/>
      <w:szCs w:val="20"/>
      <w:lang w:eastAsia="it-IT"/>
    </w:rPr>
  </w:style>
  <w:style w:type="character" w:customStyle="1" w:styleId="Titolo3Carattere">
    <w:name w:val="Titolo 3 Carattere"/>
    <w:basedOn w:val="Carpredefinitoparagrafo"/>
    <w:link w:val="Titolo3"/>
    <w:rsid w:val="00B52AAC"/>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rsid w:val="00B52AAC"/>
    <w:rPr>
      <w:rFonts w:ascii="Book Antiqua" w:eastAsia="Times New Roman" w:hAnsi="Book Antiqua" w:cs="Times New Roman"/>
      <w:b/>
      <w:bCs/>
      <w:i/>
      <w:iCs/>
      <w:szCs w:val="24"/>
      <w:lang w:eastAsia="it-IT" w:bidi="he-IL"/>
    </w:rPr>
  </w:style>
  <w:style w:type="character" w:customStyle="1" w:styleId="Titolo5Carattere">
    <w:name w:val="Titolo 5 Carattere"/>
    <w:basedOn w:val="Carpredefinitoparagrafo"/>
    <w:link w:val="Titolo5"/>
    <w:rsid w:val="00B52AAC"/>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B52AAC"/>
    <w:rPr>
      <w:rFonts w:ascii="Book Antiqua" w:eastAsia="Times New Roman" w:hAnsi="Book Antiqua" w:cs="Times New Roman"/>
      <w:i/>
      <w:iCs/>
      <w:sz w:val="20"/>
      <w:szCs w:val="20"/>
      <w:lang w:eastAsia="it-IT" w:bidi="he-IL"/>
    </w:rPr>
  </w:style>
  <w:style w:type="character" w:customStyle="1" w:styleId="Titolo7Carattere">
    <w:name w:val="Titolo 7 Carattere"/>
    <w:basedOn w:val="Carpredefinitoparagrafo"/>
    <w:link w:val="Titolo7"/>
    <w:rsid w:val="00B52AAC"/>
    <w:rPr>
      <w:rFonts w:ascii="Times New Roman" w:eastAsia="Times New Roman" w:hAnsi="Times New Roman" w:cs="Times New Roman"/>
      <w:b/>
      <w:sz w:val="20"/>
      <w:szCs w:val="20"/>
      <w:lang w:eastAsia="it-IT"/>
    </w:rPr>
  </w:style>
  <w:style w:type="character" w:customStyle="1" w:styleId="Titolo8Carattere">
    <w:name w:val="Titolo 8 Carattere"/>
    <w:basedOn w:val="Carpredefinitoparagrafo"/>
    <w:link w:val="Titolo8"/>
    <w:rsid w:val="00B52AAC"/>
    <w:rPr>
      <w:rFonts w:ascii="Times New Roman" w:eastAsia="Times New Roman" w:hAnsi="Times New Roman" w:cs="Times New Roman"/>
      <w:b/>
      <w:bCs/>
      <w:sz w:val="20"/>
      <w:szCs w:val="24"/>
      <w:lang w:eastAsia="it-IT"/>
    </w:rPr>
  </w:style>
  <w:style w:type="character" w:customStyle="1" w:styleId="Titolo9Carattere">
    <w:name w:val="Titolo 9 Carattere"/>
    <w:basedOn w:val="Carpredefinitoparagrafo"/>
    <w:link w:val="Titolo9"/>
    <w:rsid w:val="00B52AAC"/>
    <w:rPr>
      <w:rFonts w:ascii="Times New Roman" w:eastAsia="Times New Roman" w:hAnsi="Times New Roman" w:cs="Times New Roman"/>
      <w:i/>
      <w:sz w:val="20"/>
      <w:szCs w:val="20"/>
      <w:lang w:eastAsia="it-IT"/>
    </w:rPr>
  </w:style>
  <w:style w:type="paragraph" w:styleId="Testofumetto">
    <w:name w:val="Balloon Text"/>
    <w:basedOn w:val="Normale"/>
    <w:link w:val="TestofumettoCarattere"/>
    <w:semiHidden/>
    <w:unhideWhenUsed/>
    <w:rsid w:val="00B52AAC"/>
    <w:rPr>
      <w:rFonts w:ascii="Tahoma" w:eastAsia="Times New Roman" w:hAnsi="Tahoma" w:cs="Times New Roman"/>
      <w:sz w:val="16"/>
      <w:szCs w:val="16"/>
      <w:lang w:eastAsia="it-IT"/>
    </w:rPr>
  </w:style>
  <w:style w:type="character" w:customStyle="1" w:styleId="TestofumettoCarattere">
    <w:name w:val="Testo fumetto Carattere"/>
    <w:basedOn w:val="Carpredefinitoparagrafo"/>
    <w:link w:val="Testofumetto"/>
    <w:semiHidden/>
    <w:rsid w:val="00B52AAC"/>
    <w:rPr>
      <w:rFonts w:ascii="Tahoma" w:eastAsia="Times New Roman" w:hAnsi="Tahoma" w:cs="Times New Roman"/>
      <w:sz w:val="16"/>
      <w:szCs w:val="16"/>
      <w:lang w:eastAsia="it-IT"/>
    </w:rPr>
  </w:style>
  <w:style w:type="paragraph" w:styleId="Intestazione">
    <w:name w:val="header"/>
    <w:aliases w:val="CUEIM Intestazione"/>
    <w:basedOn w:val="Normale"/>
    <w:link w:val="IntestazioneCarattere"/>
    <w:unhideWhenUsed/>
    <w:rsid w:val="00B52AAC"/>
    <w:pPr>
      <w:tabs>
        <w:tab w:val="center" w:pos="4819"/>
        <w:tab w:val="right" w:pos="9638"/>
      </w:tabs>
    </w:pPr>
    <w:rPr>
      <w:rFonts w:ascii="Calibri" w:eastAsia="Times New Roman" w:hAnsi="Calibri" w:cs="Times New Roman"/>
      <w:lang w:eastAsia="it-IT"/>
    </w:rPr>
  </w:style>
  <w:style w:type="character" w:customStyle="1" w:styleId="IntestazioneCarattere">
    <w:name w:val="Intestazione Carattere"/>
    <w:aliases w:val="CUEIM Intestazione Carattere"/>
    <w:basedOn w:val="Carpredefinitoparagrafo"/>
    <w:link w:val="Intestazione"/>
    <w:rsid w:val="00B52AAC"/>
    <w:rPr>
      <w:rFonts w:ascii="Calibri" w:eastAsia="Times New Roman" w:hAnsi="Calibri" w:cs="Times New Roman"/>
      <w:lang w:eastAsia="it-IT"/>
    </w:rPr>
  </w:style>
  <w:style w:type="paragraph" w:styleId="Pidipagina">
    <w:name w:val="footer"/>
    <w:basedOn w:val="Normale"/>
    <w:link w:val="PidipaginaCarattere"/>
    <w:uiPriority w:val="99"/>
    <w:unhideWhenUsed/>
    <w:rsid w:val="00B52AAC"/>
    <w:pPr>
      <w:tabs>
        <w:tab w:val="center" w:pos="4819"/>
        <w:tab w:val="right" w:pos="9638"/>
      </w:tabs>
    </w:pPr>
    <w:rPr>
      <w:rFonts w:ascii="Calibri" w:eastAsia="Times New Roman" w:hAnsi="Calibri" w:cs="Times New Roman"/>
      <w:lang w:eastAsia="it-IT"/>
    </w:rPr>
  </w:style>
  <w:style w:type="character" w:customStyle="1" w:styleId="PidipaginaCarattere">
    <w:name w:val="Piè di pagina Carattere"/>
    <w:basedOn w:val="Carpredefinitoparagrafo"/>
    <w:link w:val="Pidipagina"/>
    <w:uiPriority w:val="99"/>
    <w:rsid w:val="00B52AAC"/>
    <w:rPr>
      <w:rFonts w:ascii="Calibri" w:eastAsia="Times New Roman" w:hAnsi="Calibri" w:cs="Times New Roman"/>
      <w:lang w:eastAsia="it-IT"/>
    </w:rPr>
  </w:style>
  <w:style w:type="table" w:styleId="Grigliatabella">
    <w:name w:val="Table Grid"/>
    <w:basedOn w:val="Tabellanormale"/>
    <w:rsid w:val="00B52AAC"/>
    <w:pPr>
      <w:spacing w:after="0" w:line="240" w:lineRule="auto"/>
    </w:pPr>
    <w:rPr>
      <w:rFonts w:ascii="Calibri" w:eastAsia="Times New Roman"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lencoacolori-Colore11">
    <w:name w:val="Elenco a colori - Colore 11"/>
    <w:basedOn w:val="Normale"/>
    <w:uiPriority w:val="34"/>
    <w:qFormat/>
    <w:rsid w:val="00B52AAC"/>
    <w:pPr>
      <w:spacing w:after="200" w:line="276" w:lineRule="auto"/>
      <w:ind w:left="720"/>
      <w:contextualSpacing/>
    </w:pPr>
    <w:rPr>
      <w:rFonts w:ascii="Calibri" w:eastAsia="Times New Roman" w:hAnsi="Calibri" w:cs="Times New Roman"/>
      <w:lang w:eastAsia="it-IT"/>
    </w:rPr>
  </w:style>
  <w:style w:type="paragraph" w:styleId="Testonotaapidipagina">
    <w:name w:val="footnote text"/>
    <w:aliases w:val="CUEIM Testo Note,Footnote Text"/>
    <w:basedOn w:val="Normale"/>
    <w:link w:val="TestonotaapidipaginaCarattere"/>
    <w:semiHidden/>
    <w:unhideWhenUsed/>
    <w:rsid w:val="00B52AAC"/>
    <w:rPr>
      <w:rFonts w:ascii="Calibri" w:eastAsia="Times New Roman" w:hAnsi="Calibri" w:cs="Times New Roman"/>
      <w:sz w:val="20"/>
      <w:szCs w:val="20"/>
      <w:lang w:eastAsia="it-IT"/>
    </w:rPr>
  </w:style>
  <w:style w:type="character" w:customStyle="1" w:styleId="TestonotaapidipaginaCarattere">
    <w:name w:val="Testo nota a piè di pagina Carattere"/>
    <w:aliases w:val="CUEIM Testo Note Carattere,Footnote Text Carattere"/>
    <w:basedOn w:val="Carpredefinitoparagrafo"/>
    <w:link w:val="Testonotaapidipagina"/>
    <w:semiHidden/>
    <w:rsid w:val="00B52AAC"/>
    <w:rPr>
      <w:rFonts w:ascii="Calibri" w:eastAsia="Times New Roman" w:hAnsi="Calibri" w:cs="Times New Roman"/>
      <w:sz w:val="20"/>
      <w:szCs w:val="20"/>
      <w:lang w:eastAsia="it-IT"/>
    </w:rPr>
  </w:style>
  <w:style w:type="character" w:styleId="Rimandonotaapidipagina">
    <w:name w:val="footnote reference"/>
    <w:semiHidden/>
    <w:unhideWhenUsed/>
    <w:rsid w:val="00B52AAC"/>
    <w:rPr>
      <w:vertAlign w:val="superscript"/>
    </w:rPr>
  </w:style>
  <w:style w:type="character" w:styleId="Collegamentoipertestuale">
    <w:name w:val="Hyperlink"/>
    <w:uiPriority w:val="99"/>
    <w:unhideWhenUsed/>
    <w:rsid w:val="00B52AAC"/>
    <w:rPr>
      <w:color w:val="0000FF"/>
      <w:u w:val="single"/>
    </w:rPr>
  </w:style>
  <w:style w:type="paragraph" w:styleId="Corpotesto">
    <w:name w:val="Body Text"/>
    <w:basedOn w:val="Normale"/>
    <w:link w:val="CorpotestoCarattere"/>
    <w:rsid w:val="00B52AAC"/>
    <w:pPr>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B52AAC"/>
    <w:rPr>
      <w:rFonts w:ascii="Times New Roman" w:eastAsia="Times New Roman" w:hAnsi="Times New Roman" w:cs="Times New Roman"/>
      <w:sz w:val="20"/>
      <w:szCs w:val="20"/>
      <w:lang w:eastAsia="it-IT"/>
    </w:rPr>
  </w:style>
  <w:style w:type="paragraph" w:styleId="Sommario1">
    <w:name w:val="toc 1"/>
    <w:basedOn w:val="Normale"/>
    <w:next w:val="Normale"/>
    <w:autoRedefine/>
    <w:uiPriority w:val="39"/>
    <w:unhideWhenUsed/>
    <w:qFormat/>
    <w:rsid w:val="00B52AAC"/>
    <w:pPr>
      <w:jc w:val="both"/>
    </w:pPr>
    <w:rPr>
      <w:rFonts w:ascii="Times New Roman" w:eastAsia="Times New Roman" w:hAnsi="Times New Roman" w:cs="Times New Roman"/>
      <w:sz w:val="20"/>
      <w:szCs w:val="20"/>
      <w:lang w:eastAsia="it-IT"/>
    </w:rPr>
  </w:style>
  <w:style w:type="paragraph" w:styleId="Didascalia">
    <w:name w:val="caption"/>
    <w:basedOn w:val="Normale"/>
    <w:next w:val="Normale"/>
    <w:qFormat/>
    <w:rsid w:val="00B52AAC"/>
    <w:pPr>
      <w:jc w:val="center"/>
    </w:pPr>
    <w:rPr>
      <w:rFonts w:ascii="Times New Roman" w:eastAsia="Times New Roman" w:hAnsi="Times New Roman" w:cs="Times New Roman"/>
      <w:bCs/>
      <w:i/>
      <w:sz w:val="18"/>
      <w:szCs w:val="20"/>
      <w:lang w:eastAsia="it-IT"/>
    </w:rPr>
  </w:style>
  <w:style w:type="character" w:customStyle="1" w:styleId="TitoloCarattere">
    <w:name w:val="Titolo Carattere"/>
    <w:aliases w:val="CUEIM Titolo Capitolo Carattere,Title Carattere"/>
    <w:link w:val="Titolo"/>
    <w:locked/>
    <w:rsid w:val="00B52AAC"/>
    <w:rPr>
      <w:rFonts w:ascii="Times New Roman" w:hAnsi="Times New Roman"/>
      <w:b/>
      <w:sz w:val="28"/>
    </w:rPr>
  </w:style>
  <w:style w:type="paragraph" w:styleId="Titolo">
    <w:name w:val="Title"/>
    <w:aliases w:val="CUEIM Titolo Capitolo,Title"/>
    <w:basedOn w:val="Normale"/>
    <w:link w:val="TitoloCarattere"/>
    <w:qFormat/>
    <w:rsid w:val="00B52AAC"/>
    <w:pPr>
      <w:jc w:val="center"/>
    </w:pPr>
    <w:rPr>
      <w:rFonts w:ascii="Times New Roman" w:hAnsi="Times New Roman"/>
      <w:b/>
      <w:sz w:val="28"/>
    </w:rPr>
  </w:style>
  <w:style w:type="character" w:customStyle="1" w:styleId="TitoloCarattere1">
    <w:name w:val="Titolo Carattere1"/>
    <w:aliases w:val="CUEIM Titolo Capitolo Carattere1,Title Carattere1"/>
    <w:basedOn w:val="Carpredefinitoparagrafo"/>
    <w:rsid w:val="00B52AAC"/>
    <w:rPr>
      <w:rFonts w:asciiTheme="majorHAnsi" w:eastAsiaTheme="majorEastAsia" w:hAnsiTheme="majorHAnsi" w:cstheme="majorBidi"/>
      <w:color w:val="17365D" w:themeColor="text2" w:themeShade="BF"/>
      <w:spacing w:val="5"/>
      <w:kern w:val="28"/>
      <w:sz w:val="52"/>
      <w:szCs w:val="52"/>
    </w:rPr>
  </w:style>
  <w:style w:type="character" w:customStyle="1" w:styleId="RientrocorpodeltestoCarattere">
    <w:name w:val="Rientro corpo del testo Carattere"/>
    <w:link w:val="Rientrocorpodeltesto"/>
    <w:semiHidden/>
    <w:rsid w:val="00B52AAC"/>
    <w:rPr>
      <w:rFonts w:ascii="Times New Roman" w:hAnsi="Times New Roman"/>
    </w:rPr>
  </w:style>
  <w:style w:type="paragraph" w:styleId="Rientrocorpodeltesto">
    <w:name w:val="Body Text Indent"/>
    <w:basedOn w:val="Normale"/>
    <w:link w:val="RientrocorpodeltestoCarattere"/>
    <w:semiHidden/>
    <w:unhideWhenUsed/>
    <w:rsid w:val="00B52AAC"/>
    <w:pPr>
      <w:ind w:firstLine="340"/>
      <w:jc w:val="both"/>
    </w:pPr>
    <w:rPr>
      <w:rFonts w:ascii="Times New Roman" w:hAnsi="Times New Roman"/>
    </w:rPr>
  </w:style>
  <w:style w:type="character" w:customStyle="1" w:styleId="RientrocorpodeltestoCarattere1">
    <w:name w:val="Rientro corpo del testo Carattere1"/>
    <w:basedOn w:val="Carpredefinitoparagrafo"/>
    <w:uiPriority w:val="99"/>
    <w:semiHidden/>
    <w:rsid w:val="00B52AAC"/>
  </w:style>
  <w:style w:type="paragraph" w:styleId="Sottotitolo">
    <w:name w:val="Subtitle"/>
    <w:basedOn w:val="Normale"/>
    <w:link w:val="SottotitoloCarattere"/>
    <w:qFormat/>
    <w:rsid w:val="00B52AAC"/>
    <w:pPr>
      <w:jc w:val="center"/>
    </w:pPr>
    <w:rPr>
      <w:rFonts w:ascii="Times New Roman" w:eastAsia="Times New Roman" w:hAnsi="Times New Roman" w:cs="Times New Roman"/>
      <w:b/>
      <w:sz w:val="28"/>
      <w:szCs w:val="40"/>
      <w:lang w:eastAsia="it-IT"/>
    </w:rPr>
  </w:style>
  <w:style w:type="character" w:customStyle="1" w:styleId="SottotitoloCarattere">
    <w:name w:val="Sottotitolo Carattere"/>
    <w:basedOn w:val="Carpredefinitoparagrafo"/>
    <w:link w:val="Sottotitolo"/>
    <w:rsid w:val="00B52AAC"/>
    <w:rPr>
      <w:rFonts w:ascii="Times New Roman" w:eastAsia="Times New Roman" w:hAnsi="Times New Roman" w:cs="Times New Roman"/>
      <w:b/>
      <w:sz w:val="28"/>
      <w:szCs w:val="40"/>
      <w:lang w:eastAsia="it-IT"/>
    </w:rPr>
  </w:style>
  <w:style w:type="character" w:customStyle="1" w:styleId="Corpodeltesto2Carattere">
    <w:name w:val="Corpo del testo 2 Carattere"/>
    <w:link w:val="Corpodeltesto2"/>
    <w:semiHidden/>
    <w:rsid w:val="00B52AAC"/>
    <w:rPr>
      <w:rFonts w:ascii="Times New Roman" w:hAnsi="Times New Roman"/>
    </w:rPr>
  </w:style>
  <w:style w:type="paragraph" w:styleId="Corpodeltesto2">
    <w:name w:val="Body Text 2"/>
    <w:basedOn w:val="Normale"/>
    <w:link w:val="Corpodeltesto2Carattere"/>
    <w:semiHidden/>
    <w:unhideWhenUsed/>
    <w:rsid w:val="00B52AAC"/>
    <w:pPr>
      <w:jc w:val="both"/>
    </w:pPr>
    <w:rPr>
      <w:rFonts w:ascii="Times New Roman" w:hAnsi="Times New Roman"/>
    </w:rPr>
  </w:style>
  <w:style w:type="character" w:customStyle="1" w:styleId="Corpodeltesto2Carattere1">
    <w:name w:val="Corpo del testo 2 Carattere1"/>
    <w:basedOn w:val="Carpredefinitoparagrafo"/>
    <w:uiPriority w:val="99"/>
    <w:semiHidden/>
    <w:rsid w:val="00B52AAC"/>
  </w:style>
  <w:style w:type="character" w:customStyle="1" w:styleId="Corpodeltesto3Carattere">
    <w:name w:val="Corpo del testo 3 Carattere"/>
    <w:link w:val="Corpodeltesto3"/>
    <w:semiHidden/>
    <w:rsid w:val="00B52AAC"/>
    <w:rPr>
      <w:rFonts w:ascii="Times New Roman" w:hAnsi="Times New Roman"/>
      <w:sz w:val="24"/>
      <w:szCs w:val="24"/>
    </w:rPr>
  </w:style>
  <w:style w:type="paragraph" w:styleId="Corpodeltesto3">
    <w:name w:val="Body Text 3"/>
    <w:basedOn w:val="Normale"/>
    <w:link w:val="Corpodeltesto3Carattere"/>
    <w:semiHidden/>
    <w:unhideWhenUsed/>
    <w:rsid w:val="00B52AAC"/>
    <w:pPr>
      <w:widowControl w:val="0"/>
      <w:spacing w:after="60"/>
      <w:jc w:val="both"/>
    </w:pPr>
    <w:rPr>
      <w:rFonts w:ascii="Times New Roman" w:hAnsi="Times New Roman"/>
      <w:sz w:val="24"/>
      <w:szCs w:val="24"/>
    </w:rPr>
  </w:style>
  <w:style w:type="character" w:customStyle="1" w:styleId="Corpodeltesto3Carattere1">
    <w:name w:val="Corpo del testo 3 Carattere1"/>
    <w:basedOn w:val="Carpredefinitoparagrafo"/>
    <w:uiPriority w:val="99"/>
    <w:semiHidden/>
    <w:rsid w:val="00B52AAC"/>
    <w:rPr>
      <w:sz w:val="16"/>
      <w:szCs w:val="16"/>
    </w:rPr>
  </w:style>
  <w:style w:type="character" w:customStyle="1" w:styleId="Rientrocorpodeltesto2Carattere">
    <w:name w:val="Rientro corpo del testo 2 Carattere"/>
    <w:link w:val="Rientrocorpodeltesto2"/>
    <w:semiHidden/>
    <w:rsid w:val="00B52AAC"/>
    <w:rPr>
      <w:rFonts w:ascii="Times New Roman" w:hAnsi="Times New Roman"/>
    </w:rPr>
  </w:style>
  <w:style w:type="paragraph" w:styleId="Rientrocorpodeltesto2">
    <w:name w:val="Body Text Indent 2"/>
    <w:basedOn w:val="Normale"/>
    <w:link w:val="Rientrocorpodeltesto2Carattere"/>
    <w:semiHidden/>
    <w:unhideWhenUsed/>
    <w:rsid w:val="00B52AAC"/>
    <w:pPr>
      <w:ind w:firstLine="426"/>
      <w:jc w:val="both"/>
    </w:pPr>
    <w:rPr>
      <w:rFonts w:ascii="Times New Roman" w:hAnsi="Times New Roman"/>
    </w:rPr>
  </w:style>
  <w:style w:type="character" w:customStyle="1" w:styleId="Rientrocorpodeltesto2Carattere1">
    <w:name w:val="Rientro corpo del testo 2 Carattere1"/>
    <w:basedOn w:val="Carpredefinitoparagrafo"/>
    <w:uiPriority w:val="99"/>
    <w:semiHidden/>
    <w:rsid w:val="00B52AAC"/>
  </w:style>
  <w:style w:type="character" w:customStyle="1" w:styleId="Rientrocorpodeltesto3Carattere">
    <w:name w:val="Rientro corpo del testo 3 Carattere"/>
    <w:link w:val="Rientrocorpodeltesto3"/>
    <w:semiHidden/>
    <w:rsid w:val="00B52AAC"/>
    <w:rPr>
      <w:rFonts w:ascii="Times New Roman" w:hAnsi="Times New Roman"/>
    </w:rPr>
  </w:style>
  <w:style w:type="paragraph" w:styleId="Rientrocorpodeltesto3">
    <w:name w:val="Body Text Indent 3"/>
    <w:basedOn w:val="Normale"/>
    <w:link w:val="Rientrocorpodeltesto3Carattere"/>
    <w:semiHidden/>
    <w:unhideWhenUsed/>
    <w:rsid w:val="00B52AAC"/>
    <w:pPr>
      <w:ind w:firstLine="340"/>
      <w:jc w:val="both"/>
    </w:pPr>
    <w:rPr>
      <w:rFonts w:ascii="Times New Roman" w:hAnsi="Times New Roman"/>
    </w:rPr>
  </w:style>
  <w:style w:type="character" w:customStyle="1" w:styleId="Rientrocorpodeltesto3Carattere1">
    <w:name w:val="Rientro corpo del testo 3 Carattere1"/>
    <w:basedOn w:val="Carpredefinitoparagrafo"/>
    <w:uiPriority w:val="99"/>
    <w:semiHidden/>
    <w:rsid w:val="00B52AAC"/>
    <w:rPr>
      <w:sz w:val="16"/>
      <w:szCs w:val="16"/>
    </w:rPr>
  </w:style>
  <w:style w:type="paragraph" w:customStyle="1" w:styleId="CUEIMElencoPuntatoILivello">
    <w:name w:val="CUEIM Elenco Puntato I Livello"/>
    <w:basedOn w:val="Normale"/>
    <w:rsid w:val="00B52AAC"/>
    <w:pPr>
      <w:widowControl w:val="0"/>
      <w:tabs>
        <w:tab w:val="num" w:pos="720"/>
      </w:tabs>
      <w:ind w:left="720" w:hanging="360"/>
      <w:jc w:val="both"/>
    </w:pPr>
    <w:rPr>
      <w:rFonts w:ascii="Times New Roman" w:eastAsia="Times New Roman" w:hAnsi="Times New Roman" w:cs="Times New Roman"/>
      <w:sz w:val="20"/>
      <w:szCs w:val="20"/>
      <w:lang w:eastAsia="it-IT"/>
    </w:rPr>
  </w:style>
  <w:style w:type="paragraph" w:customStyle="1" w:styleId="Note">
    <w:name w:val="Note"/>
    <w:basedOn w:val="Normale"/>
    <w:rsid w:val="00B52AAC"/>
    <w:pPr>
      <w:widowControl w:val="0"/>
      <w:spacing w:after="60"/>
      <w:jc w:val="both"/>
    </w:pPr>
    <w:rPr>
      <w:rFonts w:ascii="Book Antiqua" w:eastAsia="Times New Roman" w:hAnsi="Book Antiqua" w:cs="Times New Roman"/>
      <w:i/>
      <w:iCs/>
      <w:sz w:val="20"/>
      <w:szCs w:val="24"/>
      <w:lang w:eastAsia="it-IT" w:bidi="he-IL"/>
    </w:rPr>
  </w:style>
  <w:style w:type="paragraph" w:customStyle="1" w:styleId="CUEIMElencoPuntatoIILivello">
    <w:name w:val="CUEIM Elenco Puntato II Livello"/>
    <w:basedOn w:val="CUEIMElencoPuntatoILivello"/>
    <w:rsid w:val="00B52AAC"/>
    <w:pPr>
      <w:tabs>
        <w:tab w:val="clear" w:pos="720"/>
      </w:tabs>
      <w:ind w:left="1080"/>
    </w:pPr>
  </w:style>
  <w:style w:type="paragraph" w:customStyle="1" w:styleId="Default">
    <w:name w:val="Default"/>
    <w:rsid w:val="00B52AAC"/>
    <w:pPr>
      <w:autoSpaceDE w:val="0"/>
      <w:autoSpaceDN w:val="0"/>
      <w:adjustRightInd w:val="0"/>
      <w:spacing w:after="0" w:line="240" w:lineRule="auto"/>
    </w:pPr>
    <w:rPr>
      <w:rFonts w:ascii="BIKICO+TimesNewRomanPS" w:eastAsia="Times New Roman" w:hAnsi="BIKICO+TimesNewRomanPS" w:cs="Times New Roman"/>
      <w:color w:val="000000"/>
      <w:sz w:val="24"/>
      <w:szCs w:val="24"/>
      <w:lang w:eastAsia="it-IT"/>
    </w:rPr>
  </w:style>
  <w:style w:type="paragraph" w:customStyle="1" w:styleId="CUEIMAUTORE">
    <w:name w:val="CUEIM AUTORE"/>
    <w:basedOn w:val="Normale"/>
    <w:rsid w:val="00B52AAC"/>
    <w:pPr>
      <w:widowControl w:val="0"/>
      <w:spacing w:after="240"/>
      <w:jc w:val="right"/>
    </w:pPr>
    <w:rPr>
      <w:rFonts w:ascii="Helvetica" w:eastAsia="Times New Roman" w:hAnsi="Helvetica" w:cs="Times New Roman"/>
      <w:smallCaps/>
      <w:sz w:val="24"/>
      <w:szCs w:val="20"/>
      <w:lang w:eastAsia="it-IT"/>
    </w:rPr>
  </w:style>
  <w:style w:type="character" w:customStyle="1" w:styleId="numverde1">
    <w:name w:val="num_verde1"/>
    <w:rsid w:val="00B52AAC"/>
    <w:rPr>
      <w:rFonts w:ascii="Verdana" w:hAnsi="Verdana" w:hint="default"/>
      <w:b/>
      <w:bCs/>
      <w:i w:val="0"/>
      <w:iCs w:val="0"/>
      <w:color w:val="009933"/>
      <w:sz w:val="26"/>
      <w:szCs w:val="26"/>
    </w:rPr>
  </w:style>
  <w:style w:type="character" w:customStyle="1" w:styleId="testoblub">
    <w:name w:val="testoblub"/>
    <w:basedOn w:val="Carpredefinitoparagrafo"/>
    <w:rsid w:val="00B52AAC"/>
  </w:style>
  <w:style w:type="character" w:customStyle="1" w:styleId="titolo10">
    <w:name w:val="titolo1"/>
    <w:rsid w:val="00B52AAC"/>
    <w:rPr>
      <w:rFonts w:ascii="Arial" w:hAnsi="Arial" w:cs="Arial" w:hint="default"/>
      <w:b/>
      <w:bCs/>
      <w:strike w:val="0"/>
      <w:dstrike w:val="0"/>
      <w:sz w:val="18"/>
      <w:szCs w:val="18"/>
      <w:u w:val="none"/>
      <w:effect w:val="none"/>
    </w:rPr>
  </w:style>
  <w:style w:type="character" w:customStyle="1" w:styleId="testo1">
    <w:name w:val="testo1"/>
    <w:rsid w:val="00B52AAC"/>
    <w:rPr>
      <w:rFonts w:ascii="Arial" w:hAnsi="Arial" w:cs="Arial" w:hint="default"/>
      <w:strike w:val="0"/>
      <w:dstrike w:val="0"/>
      <w:color w:val="000000"/>
      <w:sz w:val="17"/>
      <w:szCs w:val="17"/>
      <w:u w:val="none"/>
      <w:effect w:val="none"/>
    </w:rPr>
  </w:style>
  <w:style w:type="character" w:customStyle="1" w:styleId="font12blubold1">
    <w:name w:val="font12blubold1"/>
    <w:rsid w:val="00B52AAC"/>
    <w:rPr>
      <w:rFonts w:ascii="Verdana" w:hAnsi="Verdana" w:hint="default"/>
      <w:b/>
      <w:bCs/>
      <w:i w:val="0"/>
      <w:iCs w:val="0"/>
      <w:strike w:val="0"/>
      <w:dstrike w:val="0"/>
      <w:color w:val="003399"/>
      <w:sz w:val="24"/>
      <w:szCs w:val="24"/>
      <w:u w:val="none"/>
      <w:effect w:val="none"/>
    </w:rPr>
  </w:style>
  <w:style w:type="character" w:customStyle="1" w:styleId="grigio-scuro-81">
    <w:name w:val="grigio-scuro-81"/>
    <w:rsid w:val="00B52AAC"/>
    <w:rPr>
      <w:rFonts w:ascii="Arial" w:hAnsi="Arial" w:cs="Arial" w:hint="default"/>
      <w:color w:val="3D3D3D"/>
      <w:sz w:val="16"/>
      <w:szCs w:val="16"/>
    </w:rPr>
  </w:style>
  <w:style w:type="character" w:customStyle="1" w:styleId="testibianchi1">
    <w:name w:val="testibianchi1"/>
    <w:rsid w:val="00B52AAC"/>
    <w:rPr>
      <w:rFonts w:ascii="Arial" w:hAnsi="Arial" w:cs="Arial" w:hint="default"/>
      <w:b/>
      <w:bCs/>
      <w:color w:val="FFFFFF"/>
      <w:sz w:val="22"/>
      <w:szCs w:val="22"/>
    </w:rPr>
  </w:style>
  <w:style w:type="character" w:customStyle="1" w:styleId="style11">
    <w:name w:val="style11"/>
    <w:rsid w:val="00B52AAC"/>
    <w:rPr>
      <w:b/>
      <w:bCs/>
    </w:rPr>
  </w:style>
  <w:style w:type="character" w:customStyle="1" w:styleId="testobold111">
    <w:name w:val="testobold111"/>
    <w:rsid w:val="00B52AAC"/>
    <w:rPr>
      <w:rFonts w:ascii="Verdana" w:hAnsi="Verdana" w:hint="default"/>
      <w:b/>
      <w:bCs/>
      <w:i w:val="0"/>
      <w:iCs w:val="0"/>
      <w:color w:val="666666"/>
      <w:sz w:val="22"/>
      <w:szCs w:val="22"/>
    </w:rPr>
  </w:style>
  <w:style w:type="paragraph" w:customStyle="1" w:styleId="Normale1">
    <w:name w:val="Normale1"/>
    <w:basedOn w:val="Default"/>
    <w:next w:val="Default"/>
    <w:rsid w:val="00B52AAC"/>
    <w:rPr>
      <w:rFonts w:ascii="IHFNDO+Arial,Bold" w:hAnsi="IHFNDO+Arial,Bold"/>
      <w:color w:val="auto"/>
    </w:rPr>
  </w:style>
  <w:style w:type="paragraph" w:styleId="Titolosommario">
    <w:name w:val="TOC Heading"/>
    <w:basedOn w:val="Titolo1"/>
    <w:next w:val="Normale"/>
    <w:uiPriority w:val="39"/>
    <w:qFormat/>
    <w:rsid w:val="00B52AAC"/>
    <w:pPr>
      <w:keepLines/>
      <w:spacing w:before="480" w:after="0" w:line="276" w:lineRule="auto"/>
      <w:outlineLvl w:val="9"/>
    </w:pPr>
    <w:rPr>
      <w:rFonts w:ascii="Cambria" w:hAnsi="Cambria" w:cs="Times New Roman"/>
      <w:color w:val="365F91"/>
      <w:kern w:val="0"/>
      <w:sz w:val="28"/>
      <w:szCs w:val="28"/>
      <w:lang w:eastAsia="en-US"/>
    </w:rPr>
  </w:style>
  <w:style w:type="paragraph" w:styleId="Sommario2">
    <w:name w:val="toc 2"/>
    <w:basedOn w:val="Normale"/>
    <w:next w:val="Normale"/>
    <w:autoRedefine/>
    <w:uiPriority w:val="39"/>
    <w:unhideWhenUsed/>
    <w:qFormat/>
    <w:rsid w:val="00B52AAC"/>
    <w:pPr>
      <w:spacing w:after="100" w:line="276" w:lineRule="auto"/>
      <w:ind w:left="220"/>
    </w:pPr>
    <w:rPr>
      <w:rFonts w:ascii="Calibri" w:eastAsia="Times New Roman" w:hAnsi="Calibri" w:cs="Times New Roman"/>
    </w:rPr>
  </w:style>
  <w:style w:type="paragraph" w:styleId="Sommario3">
    <w:name w:val="toc 3"/>
    <w:basedOn w:val="Normale"/>
    <w:next w:val="Normale"/>
    <w:autoRedefine/>
    <w:uiPriority w:val="39"/>
    <w:unhideWhenUsed/>
    <w:qFormat/>
    <w:rsid w:val="00B52AAC"/>
    <w:pPr>
      <w:spacing w:after="100" w:line="276" w:lineRule="auto"/>
      <w:ind w:left="440"/>
    </w:pPr>
    <w:rPr>
      <w:rFonts w:ascii="Calibri" w:eastAsia="Times New Roman" w:hAnsi="Calibri" w:cs="Times New Roman"/>
    </w:rPr>
  </w:style>
  <w:style w:type="paragraph" w:styleId="Paragrafoelenco">
    <w:name w:val="List Paragraph"/>
    <w:basedOn w:val="Normale"/>
    <w:uiPriority w:val="34"/>
    <w:qFormat/>
    <w:rsid w:val="00B52AAC"/>
    <w:pPr>
      <w:spacing w:after="200" w:line="276" w:lineRule="auto"/>
      <w:ind w:left="720"/>
      <w:contextualSpacing/>
    </w:pPr>
    <w:rPr>
      <w:rFonts w:ascii="Times New Roman" w:eastAsia="Times New Roman" w:hAnsi="Times New Roman" w:cs="Times New Roman"/>
    </w:rPr>
  </w:style>
  <w:style w:type="table" w:customStyle="1" w:styleId="Sfondochiaro-Colore11">
    <w:name w:val="Sfondo chiaro - Colore 11"/>
    <w:basedOn w:val="Tabellanormale"/>
    <w:uiPriority w:val="60"/>
    <w:rsid w:val="00B52AAC"/>
    <w:pPr>
      <w:spacing w:after="0" w:line="240" w:lineRule="auto"/>
    </w:pPr>
    <w:rPr>
      <w:rFonts w:ascii="Times New Roman" w:eastAsia="Times New Roman" w:hAnsi="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laclassica1">
    <w:name w:val="Table Classic 1"/>
    <w:basedOn w:val="Tabellanormale"/>
    <w:rsid w:val="00B52AAC"/>
    <w:rPr>
      <w:rFonts w:ascii="Calibri" w:eastAsia="Times New Roman" w:hAnsi="Calibri" w:cs="Times New Roman"/>
      <w:sz w:val="20"/>
      <w:szCs w:val="20"/>
      <w:lang w:eastAsia="it-I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4">
    <w:name w:val="Table Classic 4"/>
    <w:basedOn w:val="Tabellanormale"/>
    <w:rsid w:val="00B52AAC"/>
    <w:rPr>
      <w:rFonts w:ascii="Calibri" w:eastAsia="Times New Roman" w:hAnsi="Calibri" w:cs="Times New Roman"/>
      <w:sz w:val="20"/>
      <w:szCs w:val="20"/>
      <w:lang w:eastAsia="it-I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olonne1">
    <w:name w:val="Table Columns 1"/>
    <w:basedOn w:val="Tabellanormale"/>
    <w:rsid w:val="00B52AAC"/>
    <w:rPr>
      <w:rFonts w:ascii="Calibri" w:eastAsia="Times New Roman" w:hAnsi="Calibri" w:cs="Times New Roman"/>
      <w:b/>
      <w:bCs/>
      <w:sz w:val="20"/>
      <w:szCs w:val="20"/>
      <w:lang w:eastAsia="it-I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Rimandocommento">
    <w:name w:val="annotation reference"/>
    <w:basedOn w:val="Carpredefinitoparagrafo"/>
    <w:rsid w:val="00B52AAC"/>
    <w:rPr>
      <w:sz w:val="16"/>
      <w:szCs w:val="16"/>
    </w:rPr>
  </w:style>
  <w:style w:type="paragraph" w:styleId="Testocommento">
    <w:name w:val="annotation text"/>
    <w:basedOn w:val="Normale"/>
    <w:link w:val="TestocommentoCarattere"/>
    <w:rsid w:val="00B52AAC"/>
    <w:pPr>
      <w:spacing w:after="200" w:line="276" w:lineRule="auto"/>
    </w:pPr>
    <w:rPr>
      <w:rFonts w:ascii="Calibri" w:eastAsia="Times New Roman" w:hAnsi="Calibri" w:cs="Times New Roman"/>
      <w:sz w:val="20"/>
      <w:szCs w:val="20"/>
      <w:lang w:eastAsia="it-IT"/>
    </w:rPr>
  </w:style>
  <w:style w:type="character" w:customStyle="1" w:styleId="TestocommentoCarattere">
    <w:name w:val="Testo commento Carattere"/>
    <w:basedOn w:val="Carpredefinitoparagrafo"/>
    <w:link w:val="Testocommento"/>
    <w:rsid w:val="00B52AAC"/>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rsid w:val="00B52AAC"/>
    <w:rPr>
      <w:b/>
      <w:bCs/>
    </w:rPr>
  </w:style>
  <w:style w:type="character" w:customStyle="1" w:styleId="SoggettocommentoCarattere">
    <w:name w:val="Soggetto commento Carattere"/>
    <w:basedOn w:val="TestocommentoCarattere"/>
    <w:link w:val="Soggettocommento"/>
    <w:rsid w:val="00B52AAC"/>
    <w:rPr>
      <w:rFonts w:ascii="Calibri" w:eastAsia="Times New Roman" w:hAnsi="Calibri" w:cs="Times New Roman"/>
      <w:b/>
      <w:bCs/>
      <w:sz w:val="20"/>
      <w:szCs w:val="20"/>
      <w:lang w:eastAsia="it-IT"/>
    </w:rPr>
  </w:style>
  <w:style w:type="table" w:styleId="Elencomedio2-Colore1">
    <w:name w:val="Medium List 2 Accent 1"/>
    <w:basedOn w:val="Tabellanormale"/>
    <w:uiPriority w:val="66"/>
    <w:rsid w:val="00B705B4"/>
    <w:pPr>
      <w:spacing w:after="0" w:line="240" w:lineRule="auto"/>
    </w:pPr>
    <w:rPr>
      <w:rFonts w:asciiTheme="majorHAnsi" w:eastAsiaTheme="majorEastAsia" w:hAnsiTheme="majorHAnsi" w:cstheme="majorBidi"/>
      <w:color w:val="000000" w:themeColor="text1"/>
      <w:lang w:eastAsia="it-I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Table Classic 1" w:uiPriority="0"/>
    <w:lsdException w:name="Table Classic 4" w:uiPriority="0"/>
    <w:lsdException w:name="Table Columns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002F"/>
    <w:pPr>
      <w:spacing w:after="0" w:line="240" w:lineRule="auto"/>
    </w:pPr>
  </w:style>
  <w:style w:type="paragraph" w:styleId="Titolo1">
    <w:name w:val="heading 1"/>
    <w:basedOn w:val="Normale"/>
    <w:next w:val="Normale"/>
    <w:link w:val="Titolo1Carattere"/>
    <w:qFormat/>
    <w:rsid w:val="00B52AAC"/>
    <w:pPr>
      <w:keepNext/>
      <w:spacing w:before="240" w:after="60"/>
      <w:jc w:val="both"/>
      <w:outlineLvl w:val="0"/>
    </w:pPr>
    <w:rPr>
      <w:rFonts w:ascii="Times New Roman" w:eastAsia="Times New Roman" w:hAnsi="Times New Roman" w:cs="Arial"/>
      <w:b/>
      <w:bCs/>
      <w:kern w:val="32"/>
      <w:sz w:val="24"/>
      <w:szCs w:val="32"/>
      <w:lang w:eastAsia="it-IT"/>
    </w:rPr>
  </w:style>
  <w:style w:type="paragraph" w:styleId="Titolo2">
    <w:name w:val="heading 2"/>
    <w:basedOn w:val="Normale"/>
    <w:next w:val="Normale"/>
    <w:link w:val="Titolo2Carattere"/>
    <w:qFormat/>
    <w:rsid w:val="00B52AAC"/>
    <w:pPr>
      <w:keepNext/>
      <w:outlineLvl w:val="1"/>
    </w:pPr>
    <w:rPr>
      <w:rFonts w:ascii="Times New Roman" w:eastAsia="Times New Roman" w:hAnsi="Times New Roman" w:cs="Times New Roman"/>
      <w:i/>
      <w:sz w:val="24"/>
      <w:szCs w:val="20"/>
      <w:lang w:eastAsia="it-IT"/>
    </w:rPr>
  </w:style>
  <w:style w:type="paragraph" w:styleId="Titolo3">
    <w:name w:val="heading 3"/>
    <w:basedOn w:val="Normale"/>
    <w:next w:val="Normale"/>
    <w:link w:val="Titolo3Carattere"/>
    <w:qFormat/>
    <w:rsid w:val="00B52AAC"/>
    <w:pPr>
      <w:keepNext/>
      <w:jc w:val="center"/>
      <w:outlineLvl w:val="2"/>
    </w:pPr>
    <w:rPr>
      <w:rFonts w:ascii="Times New Roman" w:eastAsia="Times New Roman" w:hAnsi="Times New Roman" w:cs="Times New Roman"/>
      <w:b/>
      <w:sz w:val="24"/>
      <w:szCs w:val="20"/>
      <w:lang w:eastAsia="it-IT"/>
    </w:rPr>
  </w:style>
  <w:style w:type="paragraph" w:styleId="Titolo4">
    <w:name w:val="heading 4"/>
    <w:basedOn w:val="Normale"/>
    <w:next w:val="Normale"/>
    <w:link w:val="Titolo4Carattere"/>
    <w:qFormat/>
    <w:rsid w:val="00B52AAC"/>
    <w:pPr>
      <w:keepNext/>
      <w:widowControl w:val="0"/>
      <w:spacing w:after="60" w:line="400" w:lineRule="exact"/>
      <w:jc w:val="both"/>
      <w:outlineLvl w:val="3"/>
    </w:pPr>
    <w:rPr>
      <w:rFonts w:ascii="Book Antiqua" w:eastAsia="Times New Roman" w:hAnsi="Book Antiqua" w:cs="Times New Roman"/>
      <w:b/>
      <w:bCs/>
      <w:i/>
      <w:iCs/>
      <w:szCs w:val="24"/>
      <w:lang w:eastAsia="it-IT" w:bidi="he-IL"/>
    </w:rPr>
  </w:style>
  <w:style w:type="paragraph" w:styleId="Titolo5">
    <w:name w:val="heading 5"/>
    <w:basedOn w:val="Normale"/>
    <w:next w:val="Normale"/>
    <w:link w:val="Titolo5Carattere"/>
    <w:qFormat/>
    <w:rsid w:val="00B52AAC"/>
    <w:pPr>
      <w:spacing w:before="240" w:after="60" w:line="276" w:lineRule="auto"/>
      <w:outlineLvl w:val="4"/>
    </w:pPr>
    <w:rPr>
      <w:rFonts w:ascii="Calibri" w:eastAsia="Times New Roman" w:hAnsi="Calibri" w:cs="Times New Roman"/>
      <w:b/>
      <w:bCs/>
      <w:i/>
      <w:iCs/>
      <w:sz w:val="26"/>
      <w:szCs w:val="26"/>
      <w:lang w:eastAsia="it-IT"/>
    </w:rPr>
  </w:style>
  <w:style w:type="paragraph" w:styleId="Titolo6">
    <w:name w:val="heading 6"/>
    <w:basedOn w:val="Normale"/>
    <w:next w:val="Normale"/>
    <w:link w:val="Titolo6Carattere"/>
    <w:qFormat/>
    <w:rsid w:val="00B52AAC"/>
    <w:pPr>
      <w:keepNext/>
      <w:widowControl w:val="0"/>
      <w:spacing w:after="60"/>
      <w:jc w:val="both"/>
      <w:outlineLvl w:val="5"/>
    </w:pPr>
    <w:rPr>
      <w:rFonts w:ascii="Book Antiqua" w:eastAsia="Times New Roman" w:hAnsi="Book Antiqua" w:cs="Times New Roman"/>
      <w:i/>
      <w:iCs/>
      <w:sz w:val="20"/>
      <w:szCs w:val="20"/>
      <w:lang w:eastAsia="it-IT" w:bidi="he-IL"/>
    </w:rPr>
  </w:style>
  <w:style w:type="paragraph" w:styleId="Titolo7">
    <w:name w:val="heading 7"/>
    <w:basedOn w:val="Normale"/>
    <w:next w:val="Normale"/>
    <w:link w:val="Titolo7Carattere"/>
    <w:qFormat/>
    <w:rsid w:val="00B52AAC"/>
    <w:pPr>
      <w:keepNext/>
      <w:outlineLvl w:val="6"/>
    </w:pPr>
    <w:rPr>
      <w:rFonts w:ascii="Times New Roman" w:eastAsia="Times New Roman" w:hAnsi="Times New Roman" w:cs="Times New Roman"/>
      <w:b/>
      <w:sz w:val="20"/>
      <w:szCs w:val="20"/>
      <w:lang w:eastAsia="it-IT"/>
    </w:rPr>
  </w:style>
  <w:style w:type="paragraph" w:styleId="Titolo8">
    <w:name w:val="heading 8"/>
    <w:basedOn w:val="Normale"/>
    <w:next w:val="Normale"/>
    <w:link w:val="Titolo8Carattere"/>
    <w:qFormat/>
    <w:rsid w:val="00B52AAC"/>
    <w:pPr>
      <w:keepNext/>
      <w:widowControl w:val="0"/>
      <w:spacing w:after="60"/>
      <w:ind w:right="567"/>
      <w:jc w:val="both"/>
      <w:outlineLvl w:val="7"/>
    </w:pPr>
    <w:rPr>
      <w:rFonts w:ascii="Times New Roman" w:eastAsia="Times New Roman" w:hAnsi="Times New Roman" w:cs="Times New Roman"/>
      <w:b/>
      <w:bCs/>
      <w:sz w:val="20"/>
      <w:szCs w:val="24"/>
      <w:lang w:eastAsia="it-IT"/>
    </w:rPr>
  </w:style>
  <w:style w:type="paragraph" w:styleId="Titolo9">
    <w:name w:val="heading 9"/>
    <w:basedOn w:val="Normale"/>
    <w:next w:val="Normale"/>
    <w:link w:val="Titolo9Carattere"/>
    <w:qFormat/>
    <w:rsid w:val="00B52AAC"/>
    <w:pPr>
      <w:keepNext/>
      <w:jc w:val="both"/>
      <w:outlineLvl w:val="8"/>
    </w:pPr>
    <w:rPr>
      <w:rFonts w:ascii="Times New Roman" w:eastAsia="Times New Roman" w:hAnsi="Times New Roman" w:cs="Times New Roman"/>
      <w: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34002F"/>
    <w:rPr>
      <w:rFonts w:ascii="Calibri" w:hAnsi="Calibri"/>
      <w:szCs w:val="21"/>
    </w:rPr>
  </w:style>
  <w:style w:type="character" w:customStyle="1" w:styleId="TestonormaleCarattere">
    <w:name w:val="Testo normale Carattere"/>
    <w:basedOn w:val="Carpredefinitoparagrafo"/>
    <w:link w:val="Testonormale"/>
    <w:uiPriority w:val="99"/>
    <w:semiHidden/>
    <w:rsid w:val="0034002F"/>
    <w:rPr>
      <w:rFonts w:ascii="Calibri" w:hAnsi="Calibri"/>
      <w:szCs w:val="21"/>
    </w:rPr>
  </w:style>
  <w:style w:type="character" w:styleId="Enfasigrassetto">
    <w:name w:val="Strong"/>
    <w:basedOn w:val="Carpredefinitoparagrafo"/>
    <w:qFormat/>
    <w:rsid w:val="00B379A9"/>
    <w:rPr>
      <w:b/>
      <w:bCs/>
    </w:rPr>
  </w:style>
  <w:style w:type="paragraph" w:styleId="NormaleWeb">
    <w:name w:val="Normal (Web)"/>
    <w:basedOn w:val="Normale"/>
    <w:uiPriority w:val="99"/>
    <w:semiHidden/>
    <w:unhideWhenUsed/>
    <w:rsid w:val="00B379A9"/>
    <w:pPr>
      <w:spacing w:after="150"/>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rsid w:val="00B52AAC"/>
    <w:rPr>
      <w:rFonts w:ascii="Times New Roman" w:eastAsia="Times New Roman" w:hAnsi="Times New Roman" w:cs="Arial"/>
      <w:b/>
      <w:bCs/>
      <w:kern w:val="32"/>
      <w:sz w:val="24"/>
      <w:szCs w:val="32"/>
      <w:lang w:eastAsia="it-IT"/>
    </w:rPr>
  </w:style>
  <w:style w:type="character" w:customStyle="1" w:styleId="Titolo2Carattere">
    <w:name w:val="Titolo 2 Carattere"/>
    <w:basedOn w:val="Carpredefinitoparagrafo"/>
    <w:link w:val="Titolo2"/>
    <w:rsid w:val="00B52AAC"/>
    <w:rPr>
      <w:rFonts w:ascii="Times New Roman" w:eastAsia="Times New Roman" w:hAnsi="Times New Roman" w:cs="Times New Roman"/>
      <w:i/>
      <w:sz w:val="24"/>
      <w:szCs w:val="20"/>
      <w:lang w:eastAsia="it-IT"/>
    </w:rPr>
  </w:style>
  <w:style w:type="character" w:customStyle="1" w:styleId="Titolo3Carattere">
    <w:name w:val="Titolo 3 Carattere"/>
    <w:basedOn w:val="Carpredefinitoparagrafo"/>
    <w:link w:val="Titolo3"/>
    <w:rsid w:val="00B52AAC"/>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rsid w:val="00B52AAC"/>
    <w:rPr>
      <w:rFonts w:ascii="Book Antiqua" w:eastAsia="Times New Roman" w:hAnsi="Book Antiqua" w:cs="Times New Roman"/>
      <w:b/>
      <w:bCs/>
      <w:i/>
      <w:iCs/>
      <w:szCs w:val="24"/>
      <w:lang w:eastAsia="it-IT" w:bidi="he-IL"/>
    </w:rPr>
  </w:style>
  <w:style w:type="character" w:customStyle="1" w:styleId="Titolo5Carattere">
    <w:name w:val="Titolo 5 Carattere"/>
    <w:basedOn w:val="Carpredefinitoparagrafo"/>
    <w:link w:val="Titolo5"/>
    <w:rsid w:val="00B52AAC"/>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B52AAC"/>
    <w:rPr>
      <w:rFonts w:ascii="Book Antiqua" w:eastAsia="Times New Roman" w:hAnsi="Book Antiqua" w:cs="Times New Roman"/>
      <w:i/>
      <w:iCs/>
      <w:sz w:val="20"/>
      <w:szCs w:val="20"/>
      <w:lang w:eastAsia="it-IT" w:bidi="he-IL"/>
    </w:rPr>
  </w:style>
  <w:style w:type="character" w:customStyle="1" w:styleId="Titolo7Carattere">
    <w:name w:val="Titolo 7 Carattere"/>
    <w:basedOn w:val="Carpredefinitoparagrafo"/>
    <w:link w:val="Titolo7"/>
    <w:rsid w:val="00B52AAC"/>
    <w:rPr>
      <w:rFonts w:ascii="Times New Roman" w:eastAsia="Times New Roman" w:hAnsi="Times New Roman" w:cs="Times New Roman"/>
      <w:b/>
      <w:sz w:val="20"/>
      <w:szCs w:val="20"/>
      <w:lang w:eastAsia="it-IT"/>
    </w:rPr>
  </w:style>
  <w:style w:type="character" w:customStyle="1" w:styleId="Titolo8Carattere">
    <w:name w:val="Titolo 8 Carattere"/>
    <w:basedOn w:val="Carpredefinitoparagrafo"/>
    <w:link w:val="Titolo8"/>
    <w:rsid w:val="00B52AAC"/>
    <w:rPr>
      <w:rFonts w:ascii="Times New Roman" w:eastAsia="Times New Roman" w:hAnsi="Times New Roman" w:cs="Times New Roman"/>
      <w:b/>
      <w:bCs/>
      <w:sz w:val="20"/>
      <w:szCs w:val="24"/>
      <w:lang w:eastAsia="it-IT"/>
    </w:rPr>
  </w:style>
  <w:style w:type="character" w:customStyle="1" w:styleId="Titolo9Carattere">
    <w:name w:val="Titolo 9 Carattere"/>
    <w:basedOn w:val="Carpredefinitoparagrafo"/>
    <w:link w:val="Titolo9"/>
    <w:rsid w:val="00B52AAC"/>
    <w:rPr>
      <w:rFonts w:ascii="Times New Roman" w:eastAsia="Times New Roman" w:hAnsi="Times New Roman" w:cs="Times New Roman"/>
      <w:i/>
      <w:sz w:val="20"/>
      <w:szCs w:val="20"/>
      <w:lang w:eastAsia="it-IT"/>
    </w:rPr>
  </w:style>
  <w:style w:type="paragraph" w:styleId="Testofumetto">
    <w:name w:val="Balloon Text"/>
    <w:basedOn w:val="Normale"/>
    <w:link w:val="TestofumettoCarattere"/>
    <w:semiHidden/>
    <w:unhideWhenUsed/>
    <w:rsid w:val="00B52AAC"/>
    <w:rPr>
      <w:rFonts w:ascii="Tahoma" w:eastAsia="Times New Roman" w:hAnsi="Tahoma" w:cs="Times New Roman"/>
      <w:sz w:val="16"/>
      <w:szCs w:val="16"/>
      <w:lang w:eastAsia="it-IT"/>
    </w:rPr>
  </w:style>
  <w:style w:type="character" w:customStyle="1" w:styleId="TestofumettoCarattere">
    <w:name w:val="Testo fumetto Carattere"/>
    <w:basedOn w:val="Carpredefinitoparagrafo"/>
    <w:link w:val="Testofumetto"/>
    <w:semiHidden/>
    <w:rsid w:val="00B52AAC"/>
    <w:rPr>
      <w:rFonts w:ascii="Tahoma" w:eastAsia="Times New Roman" w:hAnsi="Tahoma" w:cs="Times New Roman"/>
      <w:sz w:val="16"/>
      <w:szCs w:val="16"/>
      <w:lang w:eastAsia="it-IT"/>
    </w:rPr>
  </w:style>
  <w:style w:type="paragraph" w:styleId="Intestazione">
    <w:name w:val="header"/>
    <w:aliases w:val="CUEIM Intestazione"/>
    <w:basedOn w:val="Normale"/>
    <w:link w:val="IntestazioneCarattere"/>
    <w:unhideWhenUsed/>
    <w:rsid w:val="00B52AAC"/>
    <w:pPr>
      <w:tabs>
        <w:tab w:val="center" w:pos="4819"/>
        <w:tab w:val="right" w:pos="9638"/>
      </w:tabs>
    </w:pPr>
    <w:rPr>
      <w:rFonts w:ascii="Calibri" w:eastAsia="Times New Roman" w:hAnsi="Calibri" w:cs="Times New Roman"/>
      <w:lang w:eastAsia="it-IT"/>
    </w:rPr>
  </w:style>
  <w:style w:type="character" w:customStyle="1" w:styleId="IntestazioneCarattere">
    <w:name w:val="Intestazione Carattere"/>
    <w:aliases w:val="CUEIM Intestazione Carattere"/>
    <w:basedOn w:val="Carpredefinitoparagrafo"/>
    <w:link w:val="Intestazione"/>
    <w:rsid w:val="00B52AAC"/>
    <w:rPr>
      <w:rFonts w:ascii="Calibri" w:eastAsia="Times New Roman" w:hAnsi="Calibri" w:cs="Times New Roman"/>
      <w:lang w:eastAsia="it-IT"/>
    </w:rPr>
  </w:style>
  <w:style w:type="paragraph" w:styleId="Pidipagina">
    <w:name w:val="footer"/>
    <w:basedOn w:val="Normale"/>
    <w:link w:val="PidipaginaCarattere"/>
    <w:uiPriority w:val="99"/>
    <w:unhideWhenUsed/>
    <w:rsid w:val="00B52AAC"/>
    <w:pPr>
      <w:tabs>
        <w:tab w:val="center" w:pos="4819"/>
        <w:tab w:val="right" w:pos="9638"/>
      </w:tabs>
    </w:pPr>
    <w:rPr>
      <w:rFonts w:ascii="Calibri" w:eastAsia="Times New Roman" w:hAnsi="Calibri" w:cs="Times New Roman"/>
      <w:lang w:eastAsia="it-IT"/>
    </w:rPr>
  </w:style>
  <w:style w:type="character" w:customStyle="1" w:styleId="PidipaginaCarattere">
    <w:name w:val="Piè di pagina Carattere"/>
    <w:basedOn w:val="Carpredefinitoparagrafo"/>
    <w:link w:val="Pidipagina"/>
    <w:uiPriority w:val="99"/>
    <w:rsid w:val="00B52AAC"/>
    <w:rPr>
      <w:rFonts w:ascii="Calibri" w:eastAsia="Times New Roman" w:hAnsi="Calibri" w:cs="Times New Roman"/>
      <w:lang w:eastAsia="it-IT"/>
    </w:rPr>
  </w:style>
  <w:style w:type="table" w:styleId="Grigliatabella">
    <w:name w:val="Table Grid"/>
    <w:basedOn w:val="Tabellanormale"/>
    <w:rsid w:val="00B52AAC"/>
    <w:pPr>
      <w:spacing w:after="0" w:line="240" w:lineRule="auto"/>
    </w:pPr>
    <w:rPr>
      <w:rFonts w:ascii="Calibri" w:eastAsia="Times New Roman"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lencoacolori-Colore11">
    <w:name w:val="Elenco a colori - Colore 11"/>
    <w:basedOn w:val="Normale"/>
    <w:uiPriority w:val="34"/>
    <w:qFormat/>
    <w:rsid w:val="00B52AAC"/>
    <w:pPr>
      <w:spacing w:after="200" w:line="276" w:lineRule="auto"/>
      <w:ind w:left="720"/>
      <w:contextualSpacing/>
    </w:pPr>
    <w:rPr>
      <w:rFonts w:ascii="Calibri" w:eastAsia="Times New Roman" w:hAnsi="Calibri" w:cs="Times New Roman"/>
      <w:lang w:eastAsia="it-IT"/>
    </w:rPr>
  </w:style>
  <w:style w:type="paragraph" w:styleId="Testonotaapidipagina">
    <w:name w:val="footnote text"/>
    <w:aliases w:val="CUEIM Testo Note,Footnote Text"/>
    <w:basedOn w:val="Normale"/>
    <w:link w:val="TestonotaapidipaginaCarattere"/>
    <w:semiHidden/>
    <w:unhideWhenUsed/>
    <w:rsid w:val="00B52AAC"/>
    <w:rPr>
      <w:rFonts w:ascii="Calibri" w:eastAsia="Times New Roman" w:hAnsi="Calibri" w:cs="Times New Roman"/>
      <w:sz w:val="20"/>
      <w:szCs w:val="20"/>
      <w:lang w:eastAsia="it-IT"/>
    </w:rPr>
  </w:style>
  <w:style w:type="character" w:customStyle="1" w:styleId="TestonotaapidipaginaCarattere">
    <w:name w:val="Testo nota a piè di pagina Carattere"/>
    <w:aliases w:val="CUEIM Testo Note Carattere,Footnote Text Carattere"/>
    <w:basedOn w:val="Carpredefinitoparagrafo"/>
    <w:link w:val="Testonotaapidipagina"/>
    <w:semiHidden/>
    <w:rsid w:val="00B52AAC"/>
    <w:rPr>
      <w:rFonts w:ascii="Calibri" w:eastAsia="Times New Roman" w:hAnsi="Calibri" w:cs="Times New Roman"/>
      <w:sz w:val="20"/>
      <w:szCs w:val="20"/>
      <w:lang w:eastAsia="it-IT"/>
    </w:rPr>
  </w:style>
  <w:style w:type="character" w:styleId="Rimandonotaapidipagina">
    <w:name w:val="footnote reference"/>
    <w:semiHidden/>
    <w:unhideWhenUsed/>
    <w:rsid w:val="00B52AAC"/>
    <w:rPr>
      <w:vertAlign w:val="superscript"/>
    </w:rPr>
  </w:style>
  <w:style w:type="character" w:styleId="Collegamentoipertestuale">
    <w:name w:val="Hyperlink"/>
    <w:uiPriority w:val="99"/>
    <w:unhideWhenUsed/>
    <w:rsid w:val="00B52AAC"/>
    <w:rPr>
      <w:color w:val="0000FF"/>
      <w:u w:val="single"/>
    </w:rPr>
  </w:style>
  <w:style w:type="paragraph" w:styleId="Corpotesto">
    <w:name w:val="Body Text"/>
    <w:basedOn w:val="Normale"/>
    <w:link w:val="CorpotestoCarattere"/>
    <w:rsid w:val="00B52AAC"/>
    <w:pPr>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B52AAC"/>
    <w:rPr>
      <w:rFonts w:ascii="Times New Roman" w:eastAsia="Times New Roman" w:hAnsi="Times New Roman" w:cs="Times New Roman"/>
      <w:sz w:val="20"/>
      <w:szCs w:val="20"/>
      <w:lang w:eastAsia="it-IT"/>
    </w:rPr>
  </w:style>
  <w:style w:type="paragraph" w:styleId="Sommario1">
    <w:name w:val="toc 1"/>
    <w:basedOn w:val="Normale"/>
    <w:next w:val="Normale"/>
    <w:autoRedefine/>
    <w:uiPriority w:val="39"/>
    <w:unhideWhenUsed/>
    <w:qFormat/>
    <w:rsid w:val="00B52AAC"/>
    <w:pPr>
      <w:jc w:val="both"/>
    </w:pPr>
    <w:rPr>
      <w:rFonts w:ascii="Times New Roman" w:eastAsia="Times New Roman" w:hAnsi="Times New Roman" w:cs="Times New Roman"/>
      <w:sz w:val="20"/>
      <w:szCs w:val="20"/>
      <w:lang w:eastAsia="it-IT"/>
    </w:rPr>
  </w:style>
  <w:style w:type="paragraph" w:styleId="Didascalia">
    <w:name w:val="caption"/>
    <w:basedOn w:val="Normale"/>
    <w:next w:val="Normale"/>
    <w:qFormat/>
    <w:rsid w:val="00B52AAC"/>
    <w:pPr>
      <w:jc w:val="center"/>
    </w:pPr>
    <w:rPr>
      <w:rFonts w:ascii="Times New Roman" w:eastAsia="Times New Roman" w:hAnsi="Times New Roman" w:cs="Times New Roman"/>
      <w:bCs/>
      <w:i/>
      <w:sz w:val="18"/>
      <w:szCs w:val="20"/>
      <w:lang w:eastAsia="it-IT"/>
    </w:rPr>
  </w:style>
  <w:style w:type="character" w:customStyle="1" w:styleId="TitoloCarattere">
    <w:name w:val="Titolo Carattere"/>
    <w:aliases w:val="CUEIM Titolo Capitolo Carattere,Title Carattere"/>
    <w:link w:val="Titolo"/>
    <w:locked/>
    <w:rsid w:val="00B52AAC"/>
    <w:rPr>
      <w:rFonts w:ascii="Times New Roman" w:hAnsi="Times New Roman"/>
      <w:b/>
      <w:sz w:val="28"/>
    </w:rPr>
  </w:style>
  <w:style w:type="paragraph" w:styleId="Titolo">
    <w:name w:val="Title"/>
    <w:aliases w:val="CUEIM Titolo Capitolo,Title"/>
    <w:basedOn w:val="Normale"/>
    <w:link w:val="TitoloCarattere"/>
    <w:qFormat/>
    <w:rsid w:val="00B52AAC"/>
    <w:pPr>
      <w:jc w:val="center"/>
    </w:pPr>
    <w:rPr>
      <w:rFonts w:ascii="Times New Roman" w:hAnsi="Times New Roman"/>
      <w:b/>
      <w:sz w:val="28"/>
    </w:rPr>
  </w:style>
  <w:style w:type="character" w:customStyle="1" w:styleId="TitoloCarattere1">
    <w:name w:val="Titolo Carattere1"/>
    <w:aliases w:val="CUEIM Titolo Capitolo Carattere1,Title Carattere1"/>
    <w:basedOn w:val="Carpredefinitoparagrafo"/>
    <w:rsid w:val="00B52AAC"/>
    <w:rPr>
      <w:rFonts w:asciiTheme="majorHAnsi" w:eastAsiaTheme="majorEastAsia" w:hAnsiTheme="majorHAnsi" w:cstheme="majorBidi"/>
      <w:color w:val="17365D" w:themeColor="text2" w:themeShade="BF"/>
      <w:spacing w:val="5"/>
      <w:kern w:val="28"/>
      <w:sz w:val="52"/>
      <w:szCs w:val="52"/>
    </w:rPr>
  </w:style>
  <w:style w:type="character" w:customStyle="1" w:styleId="RientrocorpodeltestoCarattere">
    <w:name w:val="Rientro corpo del testo Carattere"/>
    <w:link w:val="Rientrocorpodeltesto"/>
    <w:semiHidden/>
    <w:rsid w:val="00B52AAC"/>
    <w:rPr>
      <w:rFonts w:ascii="Times New Roman" w:hAnsi="Times New Roman"/>
    </w:rPr>
  </w:style>
  <w:style w:type="paragraph" w:styleId="Rientrocorpodeltesto">
    <w:name w:val="Body Text Indent"/>
    <w:basedOn w:val="Normale"/>
    <w:link w:val="RientrocorpodeltestoCarattere"/>
    <w:semiHidden/>
    <w:unhideWhenUsed/>
    <w:rsid w:val="00B52AAC"/>
    <w:pPr>
      <w:ind w:firstLine="340"/>
      <w:jc w:val="both"/>
    </w:pPr>
    <w:rPr>
      <w:rFonts w:ascii="Times New Roman" w:hAnsi="Times New Roman"/>
    </w:rPr>
  </w:style>
  <w:style w:type="character" w:customStyle="1" w:styleId="RientrocorpodeltestoCarattere1">
    <w:name w:val="Rientro corpo del testo Carattere1"/>
    <w:basedOn w:val="Carpredefinitoparagrafo"/>
    <w:uiPriority w:val="99"/>
    <w:semiHidden/>
    <w:rsid w:val="00B52AAC"/>
  </w:style>
  <w:style w:type="paragraph" w:styleId="Sottotitolo">
    <w:name w:val="Subtitle"/>
    <w:basedOn w:val="Normale"/>
    <w:link w:val="SottotitoloCarattere"/>
    <w:qFormat/>
    <w:rsid w:val="00B52AAC"/>
    <w:pPr>
      <w:jc w:val="center"/>
    </w:pPr>
    <w:rPr>
      <w:rFonts w:ascii="Times New Roman" w:eastAsia="Times New Roman" w:hAnsi="Times New Roman" w:cs="Times New Roman"/>
      <w:b/>
      <w:sz w:val="28"/>
      <w:szCs w:val="40"/>
      <w:lang w:eastAsia="it-IT"/>
    </w:rPr>
  </w:style>
  <w:style w:type="character" w:customStyle="1" w:styleId="SottotitoloCarattere">
    <w:name w:val="Sottotitolo Carattere"/>
    <w:basedOn w:val="Carpredefinitoparagrafo"/>
    <w:link w:val="Sottotitolo"/>
    <w:rsid w:val="00B52AAC"/>
    <w:rPr>
      <w:rFonts w:ascii="Times New Roman" w:eastAsia="Times New Roman" w:hAnsi="Times New Roman" w:cs="Times New Roman"/>
      <w:b/>
      <w:sz w:val="28"/>
      <w:szCs w:val="40"/>
      <w:lang w:eastAsia="it-IT"/>
    </w:rPr>
  </w:style>
  <w:style w:type="character" w:customStyle="1" w:styleId="Corpodeltesto2Carattere">
    <w:name w:val="Corpo del testo 2 Carattere"/>
    <w:link w:val="Corpodeltesto2"/>
    <w:semiHidden/>
    <w:rsid w:val="00B52AAC"/>
    <w:rPr>
      <w:rFonts w:ascii="Times New Roman" w:hAnsi="Times New Roman"/>
    </w:rPr>
  </w:style>
  <w:style w:type="paragraph" w:styleId="Corpodeltesto2">
    <w:name w:val="Body Text 2"/>
    <w:basedOn w:val="Normale"/>
    <w:link w:val="Corpodeltesto2Carattere"/>
    <w:semiHidden/>
    <w:unhideWhenUsed/>
    <w:rsid w:val="00B52AAC"/>
    <w:pPr>
      <w:jc w:val="both"/>
    </w:pPr>
    <w:rPr>
      <w:rFonts w:ascii="Times New Roman" w:hAnsi="Times New Roman"/>
    </w:rPr>
  </w:style>
  <w:style w:type="character" w:customStyle="1" w:styleId="Corpodeltesto2Carattere1">
    <w:name w:val="Corpo del testo 2 Carattere1"/>
    <w:basedOn w:val="Carpredefinitoparagrafo"/>
    <w:uiPriority w:val="99"/>
    <w:semiHidden/>
    <w:rsid w:val="00B52AAC"/>
  </w:style>
  <w:style w:type="character" w:customStyle="1" w:styleId="Corpodeltesto3Carattere">
    <w:name w:val="Corpo del testo 3 Carattere"/>
    <w:link w:val="Corpodeltesto3"/>
    <w:semiHidden/>
    <w:rsid w:val="00B52AAC"/>
    <w:rPr>
      <w:rFonts w:ascii="Times New Roman" w:hAnsi="Times New Roman"/>
      <w:sz w:val="24"/>
      <w:szCs w:val="24"/>
    </w:rPr>
  </w:style>
  <w:style w:type="paragraph" w:styleId="Corpodeltesto3">
    <w:name w:val="Body Text 3"/>
    <w:basedOn w:val="Normale"/>
    <w:link w:val="Corpodeltesto3Carattere"/>
    <w:semiHidden/>
    <w:unhideWhenUsed/>
    <w:rsid w:val="00B52AAC"/>
    <w:pPr>
      <w:widowControl w:val="0"/>
      <w:spacing w:after="60"/>
      <w:jc w:val="both"/>
    </w:pPr>
    <w:rPr>
      <w:rFonts w:ascii="Times New Roman" w:hAnsi="Times New Roman"/>
      <w:sz w:val="24"/>
      <w:szCs w:val="24"/>
    </w:rPr>
  </w:style>
  <w:style w:type="character" w:customStyle="1" w:styleId="Corpodeltesto3Carattere1">
    <w:name w:val="Corpo del testo 3 Carattere1"/>
    <w:basedOn w:val="Carpredefinitoparagrafo"/>
    <w:uiPriority w:val="99"/>
    <w:semiHidden/>
    <w:rsid w:val="00B52AAC"/>
    <w:rPr>
      <w:sz w:val="16"/>
      <w:szCs w:val="16"/>
    </w:rPr>
  </w:style>
  <w:style w:type="character" w:customStyle="1" w:styleId="Rientrocorpodeltesto2Carattere">
    <w:name w:val="Rientro corpo del testo 2 Carattere"/>
    <w:link w:val="Rientrocorpodeltesto2"/>
    <w:semiHidden/>
    <w:rsid w:val="00B52AAC"/>
    <w:rPr>
      <w:rFonts w:ascii="Times New Roman" w:hAnsi="Times New Roman"/>
    </w:rPr>
  </w:style>
  <w:style w:type="paragraph" w:styleId="Rientrocorpodeltesto2">
    <w:name w:val="Body Text Indent 2"/>
    <w:basedOn w:val="Normale"/>
    <w:link w:val="Rientrocorpodeltesto2Carattere"/>
    <w:semiHidden/>
    <w:unhideWhenUsed/>
    <w:rsid w:val="00B52AAC"/>
    <w:pPr>
      <w:ind w:firstLine="426"/>
      <w:jc w:val="both"/>
    </w:pPr>
    <w:rPr>
      <w:rFonts w:ascii="Times New Roman" w:hAnsi="Times New Roman"/>
    </w:rPr>
  </w:style>
  <w:style w:type="character" w:customStyle="1" w:styleId="Rientrocorpodeltesto2Carattere1">
    <w:name w:val="Rientro corpo del testo 2 Carattere1"/>
    <w:basedOn w:val="Carpredefinitoparagrafo"/>
    <w:uiPriority w:val="99"/>
    <w:semiHidden/>
    <w:rsid w:val="00B52AAC"/>
  </w:style>
  <w:style w:type="character" w:customStyle="1" w:styleId="Rientrocorpodeltesto3Carattere">
    <w:name w:val="Rientro corpo del testo 3 Carattere"/>
    <w:link w:val="Rientrocorpodeltesto3"/>
    <w:semiHidden/>
    <w:rsid w:val="00B52AAC"/>
    <w:rPr>
      <w:rFonts w:ascii="Times New Roman" w:hAnsi="Times New Roman"/>
    </w:rPr>
  </w:style>
  <w:style w:type="paragraph" w:styleId="Rientrocorpodeltesto3">
    <w:name w:val="Body Text Indent 3"/>
    <w:basedOn w:val="Normale"/>
    <w:link w:val="Rientrocorpodeltesto3Carattere"/>
    <w:semiHidden/>
    <w:unhideWhenUsed/>
    <w:rsid w:val="00B52AAC"/>
    <w:pPr>
      <w:ind w:firstLine="340"/>
      <w:jc w:val="both"/>
    </w:pPr>
    <w:rPr>
      <w:rFonts w:ascii="Times New Roman" w:hAnsi="Times New Roman"/>
    </w:rPr>
  </w:style>
  <w:style w:type="character" w:customStyle="1" w:styleId="Rientrocorpodeltesto3Carattere1">
    <w:name w:val="Rientro corpo del testo 3 Carattere1"/>
    <w:basedOn w:val="Carpredefinitoparagrafo"/>
    <w:uiPriority w:val="99"/>
    <w:semiHidden/>
    <w:rsid w:val="00B52AAC"/>
    <w:rPr>
      <w:sz w:val="16"/>
      <w:szCs w:val="16"/>
    </w:rPr>
  </w:style>
  <w:style w:type="paragraph" w:customStyle="1" w:styleId="CUEIMElencoPuntatoILivello">
    <w:name w:val="CUEIM Elenco Puntato I Livello"/>
    <w:basedOn w:val="Normale"/>
    <w:rsid w:val="00B52AAC"/>
    <w:pPr>
      <w:widowControl w:val="0"/>
      <w:tabs>
        <w:tab w:val="num" w:pos="720"/>
      </w:tabs>
      <w:ind w:left="720" w:hanging="360"/>
      <w:jc w:val="both"/>
    </w:pPr>
    <w:rPr>
      <w:rFonts w:ascii="Times New Roman" w:eastAsia="Times New Roman" w:hAnsi="Times New Roman" w:cs="Times New Roman"/>
      <w:sz w:val="20"/>
      <w:szCs w:val="20"/>
      <w:lang w:eastAsia="it-IT"/>
    </w:rPr>
  </w:style>
  <w:style w:type="paragraph" w:customStyle="1" w:styleId="Note">
    <w:name w:val="Note"/>
    <w:basedOn w:val="Normale"/>
    <w:rsid w:val="00B52AAC"/>
    <w:pPr>
      <w:widowControl w:val="0"/>
      <w:spacing w:after="60"/>
      <w:jc w:val="both"/>
    </w:pPr>
    <w:rPr>
      <w:rFonts w:ascii="Book Antiqua" w:eastAsia="Times New Roman" w:hAnsi="Book Antiqua" w:cs="Times New Roman"/>
      <w:i/>
      <w:iCs/>
      <w:sz w:val="20"/>
      <w:szCs w:val="24"/>
      <w:lang w:eastAsia="it-IT" w:bidi="he-IL"/>
    </w:rPr>
  </w:style>
  <w:style w:type="paragraph" w:customStyle="1" w:styleId="CUEIMElencoPuntatoIILivello">
    <w:name w:val="CUEIM Elenco Puntato II Livello"/>
    <w:basedOn w:val="CUEIMElencoPuntatoILivello"/>
    <w:rsid w:val="00B52AAC"/>
    <w:pPr>
      <w:tabs>
        <w:tab w:val="clear" w:pos="720"/>
      </w:tabs>
      <w:ind w:left="1080"/>
    </w:pPr>
  </w:style>
  <w:style w:type="paragraph" w:customStyle="1" w:styleId="Default">
    <w:name w:val="Default"/>
    <w:rsid w:val="00B52AAC"/>
    <w:pPr>
      <w:autoSpaceDE w:val="0"/>
      <w:autoSpaceDN w:val="0"/>
      <w:adjustRightInd w:val="0"/>
      <w:spacing w:after="0" w:line="240" w:lineRule="auto"/>
    </w:pPr>
    <w:rPr>
      <w:rFonts w:ascii="BIKICO+TimesNewRomanPS" w:eastAsia="Times New Roman" w:hAnsi="BIKICO+TimesNewRomanPS" w:cs="Times New Roman"/>
      <w:color w:val="000000"/>
      <w:sz w:val="24"/>
      <w:szCs w:val="24"/>
      <w:lang w:eastAsia="it-IT"/>
    </w:rPr>
  </w:style>
  <w:style w:type="paragraph" w:customStyle="1" w:styleId="CUEIMAUTORE">
    <w:name w:val="CUEIM AUTORE"/>
    <w:basedOn w:val="Normale"/>
    <w:rsid w:val="00B52AAC"/>
    <w:pPr>
      <w:widowControl w:val="0"/>
      <w:spacing w:after="240"/>
      <w:jc w:val="right"/>
    </w:pPr>
    <w:rPr>
      <w:rFonts w:ascii="Helvetica" w:eastAsia="Times New Roman" w:hAnsi="Helvetica" w:cs="Times New Roman"/>
      <w:smallCaps/>
      <w:sz w:val="24"/>
      <w:szCs w:val="20"/>
      <w:lang w:eastAsia="it-IT"/>
    </w:rPr>
  </w:style>
  <w:style w:type="character" w:customStyle="1" w:styleId="numverde1">
    <w:name w:val="num_verde1"/>
    <w:rsid w:val="00B52AAC"/>
    <w:rPr>
      <w:rFonts w:ascii="Verdana" w:hAnsi="Verdana" w:hint="default"/>
      <w:b/>
      <w:bCs/>
      <w:i w:val="0"/>
      <w:iCs w:val="0"/>
      <w:color w:val="009933"/>
      <w:sz w:val="26"/>
      <w:szCs w:val="26"/>
    </w:rPr>
  </w:style>
  <w:style w:type="character" w:customStyle="1" w:styleId="testoblub">
    <w:name w:val="testoblub"/>
    <w:basedOn w:val="Carpredefinitoparagrafo"/>
    <w:rsid w:val="00B52AAC"/>
  </w:style>
  <w:style w:type="character" w:customStyle="1" w:styleId="titolo10">
    <w:name w:val="titolo1"/>
    <w:rsid w:val="00B52AAC"/>
    <w:rPr>
      <w:rFonts w:ascii="Arial" w:hAnsi="Arial" w:cs="Arial" w:hint="default"/>
      <w:b/>
      <w:bCs/>
      <w:strike w:val="0"/>
      <w:dstrike w:val="0"/>
      <w:sz w:val="18"/>
      <w:szCs w:val="18"/>
      <w:u w:val="none"/>
      <w:effect w:val="none"/>
    </w:rPr>
  </w:style>
  <w:style w:type="character" w:customStyle="1" w:styleId="testo1">
    <w:name w:val="testo1"/>
    <w:rsid w:val="00B52AAC"/>
    <w:rPr>
      <w:rFonts w:ascii="Arial" w:hAnsi="Arial" w:cs="Arial" w:hint="default"/>
      <w:strike w:val="0"/>
      <w:dstrike w:val="0"/>
      <w:color w:val="000000"/>
      <w:sz w:val="17"/>
      <w:szCs w:val="17"/>
      <w:u w:val="none"/>
      <w:effect w:val="none"/>
    </w:rPr>
  </w:style>
  <w:style w:type="character" w:customStyle="1" w:styleId="font12blubold1">
    <w:name w:val="font12blubold1"/>
    <w:rsid w:val="00B52AAC"/>
    <w:rPr>
      <w:rFonts w:ascii="Verdana" w:hAnsi="Verdana" w:hint="default"/>
      <w:b/>
      <w:bCs/>
      <w:i w:val="0"/>
      <w:iCs w:val="0"/>
      <w:strike w:val="0"/>
      <w:dstrike w:val="0"/>
      <w:color w:val="003399"/>
      <w:sz w:val="24"/>
      <w:szCs w:val="24"/>
      <w:u w:val="none"/>
      <w:effect w:val="none"/>
    </w:rPr>
  </w:style>
  <w:style w:type="character" w:customStyle="1" w:styleId="grigio-scuro-81">
    <w:name w:val="grigio-scuro-81"/>
    <w:rsid w:val="00B52AAC"/>
    <w:rPr>
      <w:rFonts w:ascii="Arial" w:hAnsi="Arial" w:cs="Arial" w:hint="default"/>
      <w:color w:val="3D3D3D"/>
      <w:sz w:val="16"/>
      <w:szCs w:val="16"/>
    </w:rPr>
  </w:style>
  <w:style w:type="character" w:customStyle="1" w:styleId="testibianchi1">
    <w:name w:val="testibianchi1"/>
    <w:rsid w:val="00B52AAC"/>
    <w:rPr>
      <w:rFonts w:ascii="Arial" w:hAnsi="Arial" w:cs="Arial" w:hint="default"/>
      <w:b/>
      <w:bCs/>
      <w:color w:val="FFFFFF"/>
      <w:sz w:val="22"/>
      <w:szCs w:val="22"/>
    </w:rPr>
  </w:style>
  <w:style w:type="character" w:customStyle="1" w:styleId="style11">
    <w:name w:val="style11"/>
    <w:rsid w:val="00B52AAC"/>
    <w:rPr>
      <w:b/>
      <w:bCs/>
    </w:rPr>
  </w:style>
  <w:style w:type="character" w:customStyle="1" w:styleId="testobold111">
    <w:name w:val="testobold111"/>
    <w:rsid w:val="00B52AAC"/>
    <w:rPr>
      <w:rFonts w:ascii="Verdana" w:hAnsi="Verdana" w:hint="default"/>
      <w:b/>
      <w:bCs/>
      <w:i w:val="0"/>
      <w:iCs w:val="0"/>
      <w:color w:val="666666"/>
      <w:sz w:val="22"/>
      <w:szCs w:val="22"/>
    </w:rPr>
  </w:style>
  <w:style w:type="paragraph" w:customStyle="1" w:styleId="Normale1">
    <w:name w:val="Normale1"/>
    <w:basedOn w:val="Default"/>
    <w:next w:val="Default"/>
    <w:rsid w:val="00B52AAC"/>
    <w:rPr>
      <w:rFonts w:ascii="IHFNDO+Arial,Bold" w:hAnsi="IHFNDO+Arial,Bold"/>
      <w:color w:val="auto"/>
    </w:rPr>
  </w:style>
  <w:style w:type="paragraph" w:styleId="Titolosommario">
    <w:name w:val="TOC Heading"/>
    <w:basedOn w:val="Titolo1"/>
    <w:next w:val="Normale"/>
    <w:uiPriority w:val="39"/>
    <w:qFormat/>
    <w:rsid w:val="00B52AAC"/>
    <w:pPr>
      <w:keepLines/>
      <w:spacing w:before="480" w:after="0" w:line="276" w:lineRule="auto"/>
      <w:outlineLvl w:val="9"/>
    </w:pPr>
    <w:rPr>
      <w:rFonts w:ascii="Cambria" w:hAnsi="Cambria" w:cs="Times New Roman"/>
      <w:color w:val="365F91"/>
      <w:kern w:val="0"/>
      <w:sz w:val="28"/>
      <w:szCs w:val="28"/>
      <w:lang w:eastAsia="en-US"/>
    </w:rPr>
  </w:style>
  <w:style w:type="paragraph" w:styleId="Sommario2">
    <w:name w:val="toc 2"/>
    <w:basedOn w:val="Normale"/>
    <w:next w:val="Normale"/>
    <w:autoRedefine/>
    <w:uiPriority w:val="39"/>
    <w:unhideWhenUsed/>
    <w:qFormat/>
    <w:rsid w:val="00B52AAC"/>
    <w:pPr>
      <w:spacing w:after="100" w:line="276" w:lineRule="auto"/>
      <w:ind w:left="220"/>
    </w:pPr>
    <w:rPr>
      <w:rFonts w:ascii="Calibri" w:eastAsia="Times New Roman" w:hAnsi="Calibri" w:cs="Times New Roman"/>
    </w:rPr>
  </w:style>
  <w:style w:type="paragraph" w:styleId="Sommario3">
    <w:name w:val="toc 3"/>
    <w:basedOn w:val="Normale"/>
    <w:next w:val="Normale"/>
    <w:autoRedefine/>
    <w:uiPriority w:val="39"/>
    <w:unhideWhenUsed/>
    <w:qFormat/>
    <w:rsid w:val="00B52AAC"/>
    <w:pPr>
      <w:spacing w:after="100" w:line="276" w:lineRule="auto"/>
      <w:ind w:left="440"/>
    </w:pPr>
    <w:rPr>
      <w:rFonts w:ascii="Calibri" w:eastAsia="Times New Roman" w:hAnsi="Calibri" w:cs="Times New Roman"/>
    </w:rPr>
  </w:style>
  <w:style w:type="paragraph" w:styleId="Paragrafoelenco">
    <w:name w:val="List Paragraph"/>
    <w:basedOn w:val="Normale"/>
    <w:uiPriority w:val="34"/>
    <w:qFormat/>
    <w:rsid w:val="00B52AAC"/>
    <w:pPr>
      <w:spacing w:after="200" w:line="276" w:lineRule="auto"/>
      <w:ind w:left="720"/>
      <w:contextualSpacing/>
    </w:pPr>
    <w:rPr>
      <w:rFonts w:ascii="Times New Roman" w:eastAsia="Times New Roman" w:hAnsi="Times New Roman" w:cs="Times New Roman"/>
    </w:rPr>
  </w:style>
  <w:style w:type="table" w:customStyle="1" w:styleId="Sfondochiaro-Colore11">
    <w:name w:val="Sfondo chiaro - Colore 11"/>
    <w:basedOn w:val="Tabellanormale"/>
    <w:uiPriority w:val="60"/>
    <w:rsid w:val="00B52AAC"/>
    <w:pPr>
      <w:spacing w:after="0" w:line="240" w:lineRule="auto"/>
    </w:pPr>
    <w:rPr>
      <w:rFonts w:ascii="Times New Roman" w:eastAsia="Times New Roman" w:hAnsi="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laclassica1">
    <w:name w:val="Table Classic 1"/>
    <w:basedOn w:val="Tabellanormale"/>
    <w:rsid w:val="00B52AAC"/>
    <w:rPr>
      <w:rFonts w:ascii="Calibri" w:eastAsia="Times New Roman" w:hAnsi="Calibri" w:cs="Times New Roman"/>
      <w:sz w:val="20"/>
      <w:szCs w:val="20"/>
      <w:lang w:eastAsia="it-I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4">
    <w:name w:val="Table Classic 4"/>
    <w:basedOn w:val="Tabellanormale"/>
    <w:rsid w:val="00B52AAC"/>
    <w:rPr>
      <w:rFonts w:ascii="Calibri" w:eastAsia="Times New Roman" w:hAnsi="Calibri" w:cs="Times New Roman"/>
      <w:sz w:val="20"/>
      <w:szCs w:val="20"/>
      <w:lang w:eastAsia="it-I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olonne1">
    <w:name w:val="Table Columns 1"/>
    <w:basedOn w:val="Tabellanormale"/>
    <w:rsid w:val="00B52AAC"/>
    <w:rPr>
      <w:rFonts w:ascii="Calibri" w:eastAsia="Times New Roman" w:hAnsi="Calibri" w:cs="Times New Roman"/>
      <w:b/>
      <w:bCs/>
      <w:sz w:val="20"/>
      <w:szCs w:val="20"/>
      <w:lang w:eastAsia="it-I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Rimandocommento">
    <w:name w:val="annotation reference"/>
    <w:basedOn w:val="Carpredefinitoparagrafo"/>
    <w:rsid w:val="00B52AAC"/>
    <w:rPr>
      <w:sz w:val="16"/>
      <w:szCs w:val="16"/>
    </w:rPr>
  </w:style>
  <w:style w:type="paragraph" w:styleId="Testocommento">
    <w:name w:val="annotation text"/>
    <w:basedOn w:val="Normale"/>
    <w:link w:val="TestocommentoCarattere"/>
    <w:rsid w:val="00B52AAC"/>
    <w:pPr>
      <w:spacing w:after="200" w:line="276" w:lineRule="auto"/>
    </w:pPr>
    <w:rPr>
      <w:rFonts w:ascii="Calibri" w:eastAsia="Times New Roman" w:hAnsi="Calibri" w:cs="Times New Roman"/>
      <w:sz w:val="20"/>
      <w:szCs w:val="20"/>
      <w:lang w:eastAsia="it-IT"/>
    </w:rPr>
  </w:style>
  <w:style w:type="character" w:customStyle="1" w:styleId="TestocommentoCarattere">
    <w:name w:val="Testo commento Carattere"/>
    <w:basedOn w:val="Carpredefinitoparagrafo"/>
    <w:link w:val="Testocommento"/>
    <w:rsid w:val="00B52AAC"/>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rsid w:val="00B52AAC"/>
    <w:rPr>
      <w:b/>
      <w:bCs/>
    </w:rPr>
  </w:style>
  <w:style w:type="character" w:customStyle="1" w:styleId="SoggettocommentoCarattere">
    <w:name w:val="Soggetto commento Carattere"/>
    <w:basedOn w:val="TestocommentoCarattere"/>
    <w:link w:val="Soggettocommento"/>
    <w:rsid w:val="00B52AAC"/>
    <w:rPr>
      <w:rFonts w:ascii="Calibri" w:eastAsia="Times New Roman" w:hAnsi="Calibri" w:cs="Times New Roman"/>
      <w:b/>
      <w:bCs/>
      <w:sz w:val="20"/>
      <w:szCs w:val="20"/>
      <w:lang w:eastAsia="it-IT"/>
    </w:rPr>
  </w:style>
  <w:style w:type="table" w:styleId="Elencomedio2-Colore1">
    <w:name w:val="Medium List 2 Accent 1"/>
    <w:basedOn w:val="Tabellanormale"/>
    <w:uiPriority w:val="66"/>
    <w:rsid w:val="00B705B4"/>
    <w:pPr>
      <w:spacing w:after="0" w:line="240" w:lineRule="auto"/>
    </w:pPr>
    <w:rPr>
      <w:rFonts w:asciiTheme="majorHAnsi" w:eastAsiaTheme="majorEastAsia" w:hAnsiTheme="majorHAnsi" w:cstheme="majorBidi"/>
      <w:color w:val="000000" w:themeColor="text1"/>
      <w:lang w:eastAsia="it-I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7506">
      <w:bodyDiv w:val="1"/>
      <w:marLeft w:val="0"/>
      <w:marRight w:val="0"/>
      <w:marTop w:val="0"/>
      <w:marBottom w:val="0"/>
      <w:divBdr>
        <w:top w:val="none" w:sz="0" w:space="0" w:color="auto"/>
        <w:left w:val="none" w:sz="0" w:space="0" w:color="auto"/>
        <w:bottom w:val="none" w:sz="0" w:space="0" w:color="auto"/>
        <w:right w:val="none" w:sz="0" w:space="0" w:color="auto"/>
      </w:divBdr>
      <w:divsChild>
        <w:div w:id="2061204409">
          <w:marLeft w:val="0"/>
          <w:marRight w:val="0"/>
          <w:marTop w:val="0"/>
          <w:marBottom w:val="0"/>
          <w:divBdr>
            <w:top w:val="none" w:sz="0" w:space="0" w:color="auto"/>
            <w:left w:val="none" w:sz="0" w:space="0" w:color="auto"/>
            <w:bottom w:val="none" w:sz="0" w:space="0" w:color="auto"/>
            <w:right w:val="none" w:sz="0" w:space="0" w:color="auto"/>
          </w:divBdr>
          <w:divsChild>
            <w:div w:id="184834334">
              <w:marLeft w:val="0"/>
              <w:marRight w:val="0"/>
              <w:marTop w:val="0"/>
              <w:marBottom w:val="0"/>
              <w:divBdr>
                <w:top w:val="none" w:sz="0" w:space="0" w:color="auto"/>
                <w:left w:val="none" w:sz="0" w:space="0" w:color="auto"/>
                <w:bottom w:val="none" w:sz="0" w:space="0" w:color="auto"/>
                <w:right w:val="none" w:sz="0" w:space="0" w:color="auto"/>
              </w:divBdr>
              <w:divsChild>
                <w:div w:id="19402131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080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BE3A-900B-42B8-BA4F-FA70A16F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2926</Words>
  <Characters>16679</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Cutolo</dc:creator>
  <cp:lastModifiedBy>Castellucci</cp:lastModifiedBy>
  <cp:revision>21</cp:revision>
  <cp:lastPrinted>2014-06-09T10:19:00Z</cp:lastPrinted>
  <dcterms:created xsi:type="dcterms:W3CDTF">2014-06-16T11:27:00Z</dcterms:created>
  <dcterms:modified xsi:type="dcterms:W3CDTF">2014-06-18T09:02:00Z</dcterms:modified>
</cp:coreProperties>
</file>