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DA" w:rsidRDefault="004934DA" w:rsidP="00DF3B5E">
      <w:pPr>
        <w:pStyle w:val="Testodelblocco"/>
        <w:ind w:right="566" w:firstLine="720"/>
        <w:jc w:val="right"/>
        <w:rPr>
          <w:rFonts w:ascii="Verdana" w:hAnsi="Verdana" w:cs="Tahoma"/>
          <w:sz w:val="18"/>
          <w:szCs w:val="18"/>
        </w:rPr>
      </w:pPr>
    </w:p>
    <w:p w:rsidR="000622DE" w:rsidRDefault="000622DE" w:rsidP="00DF3B5E">
      <w:pPr>
        <w:pStyle w:val="Testodelblocco"/>
        <w:ind w:right="566" w:firstLine="720"/>
        <w:jc w:val="right"/>
        <w:rPr>
          <w:rFonts w:ascii="Verdana" w:hAnsi="Verdana" w:cs="Tahoma"/>
          <w:sz w:val="18"/>
          <w:szCs w:val="18"/>
        </w:rPr>
      </w:pPr>
    </w:p>
    <w:p w:rsidR="004934DA" w:rsidRPr="004934DA" w:rsidRDefault="004934DA" w:rsidP="00DF3B5E">
      <w:pPr>
        <w:pStyle w:val="Testodelblocco"/>
        <w:ind w:right="566" w:firstLine="720"/>
        <w:jc w:val="right"/>
        <w:rPr>
          <w:rFonts w:ascii="Verdana" w:hAnsi="Verdana" w:cs="Tahoma"/>
          <w:sz w:val="18"/>
          <w:szCs w:val="18"/>
        </w:rPr>
      </w:pPr>
    </w:p>
    <w:p w:rsidR="00821354" w:rsidRPr="004934DA" w:rsidRDefault="00DF3B5E" w:rsidP="00DF3B5E">
      <w:pPr>
        <w:pStyle w:val="Testodelblocco"/>
        <w:ind w:right="566" w:firstLine="720"/>
        <w:jc w:val="right"/>
        <w:rPr>
          <w:rFonts w:ascii="Verdana" w:hAnsi="Verdana" w:cs="Tahoma"/>
          <w:sz w:val="18"/>
          <w:szCs w:val="18"/>
        </w:rPr>
      </w:pPr>
      <w:r w:rsidRPr="004934DA">
        <w:rPr>
          <w:rFonts w:ascii="Verdana" w:hAnsi="Verdana" w:cs="Tahoma"/>
          <w:sz w:val="18"/>
          <w:szCs w:val="18"/>
        </w:rPr>
        <w:t>Cernobbio, 1</w:t>
      </w:r>
      <w:r w:rsidR="00370E45">
        <w:rPr>
          <w:rFonts w:ascii="Verdana" w:hAnsi="Verdana" w:cs="Tahoma"/>
          <w:sz w:val="18"/>
          <w:szCs w:val="18"/>
        </w:rPr>
        <w:t>3</w:t>
      </w:r>
      <w:bookmarkStart w:id="0" w:name="_GoBack"/>
      <w:bookmarkEnd w:id="0"/>
      <w:r w:rsidRPr="004934DA">
        <w:rPr>
          <w:rFonts w:ascii="Verdana" w:hAnsi="Verdana" w:cs="Tahoma"/>
          <w:sz w:val="18"/>
          <w:szCs w:val="18"/>
        </w:rPr>
        <w:t xml:space="preserve"> ottobre 2015</w:t>
      </w:r>
    </w:p>
    <w:p w:rsidR="00821354" w:rsidRPr="004934DA" w:rsidRDefault="00821354" w:rsidP="000D228C">
      <w:pPr>
        <w:spacing w:after="0" w:line="240" w:lineRule="auto"/>
        <w:jc w:val="both"/>
        <w:rPr>
          <w:rFonts w:ascii="Verdana" w:hAnsi="Verdana"/>
          <w:sz w:val="18"/>
          <w:szCs w:val="18"/>
        </w:rPr>
      </w:pPr>
    </w:p>
    <w:p w:rsidR="00770BCA" w:rsidRPr="00DF3B5E" w:rsidRDefault="00DF3B5E" w:rsidP="00DF3B5E">
      <w:pPr>
        <w:spacing w:after="0" w:line="240" w:lineRule="auto"/>
        <w:jc w:val="center"/>
        <w:rPr>
          <w:rFonts w:ascii="Verdana" w:hAnsi="Verdana"/>
          <w:b/>
          <w:smallCaps/>
        </w:rPr>
      </w:pPr>
      <w:r w:rsidRPr="00DF3B5E">
        <w:rPr>
          <w:rFonts w:ascii="Verdana" w:hAnsi="Verdana"/>
          <w:b/>
          <w:smallCaps/>
        </w:rPr>
        <w:t>Analisi Confcommercio-Conftrasporto sul valore aggiunto del trasporto merci e sullo sviluppo della rete stradale e ferroviaria</w:t>
      </w:r>
    </w:p>
    <w:p w:rsidR="004934DA" w:rsidRPr="004934DA" w:rsidRDefault="004934DA" w:rsidP="000D228C">
      <w:pPr>
        <w:spacing w:after="0" w:line="240" w:lineRule="auto"/>
        <w:jc w:val="both"/>
        <w:rPr>
          <w:rFonts w:ascii="Verdana" w:hAnsi="Verdana"/>
          <w:sz w:val="18"/>
          <w:szCs w:val="18"/>
        </w:rPr>
      </w:pPr>
    </w:p>
    <w:p w:rsidR="00770BCA" w:rsidRPr="004934DA" w:rsidRDefault="00770BCA" w:rsidP="000D228C">
      <w:pPr>
        <w:spacing w:after="0" w:line="240" w:lineRule="auto"/>
        <w:jc w:val="both"/>
        <w:rPr>
          <w:rFonts w:ascii="Verdana" w:hAnsi="Verdana"/>
          <w:sz w:val="18"/>
          <w:szCs w:val="18"/>
        </w:rPr>
      </w:pPr>
    </w:p>
    <w:p w:rsidR="000D228C" w:rsidRPr="00401005" w:rsidRDefault="000D228C" w:rsidP="000D228C">
      <w:pPr>
        <w:spacing w:after="0" w:line="240" w:lineRule="auto"/>
        <w:jc w:val="both"/>
        <w:rPr>
          <w:rFonts w:ascii="Verdana" w:hAnsi="Verdana"/>
          <w:b/>
          <w:sz w:val="20"/>
          <w:szCs w:val="20"/>
        </w:rPr>
      </w:pPr>
      <w:r w:rsidRPr="00401005">
        <w:rPr>
          <w:rFonts w:ascii="Verdana" w:hAnsi="Verdana"/>
          <w:b/>
          <w:sz w:val="20"/>
          <w:szCs w:val="20"/>
        </w:rPr>
        <w:t xml:space="preserve">Perdita del valore aggiunto generato dalle attività di trasporto merci e logistica </w:t>
      </w:r>
      <w:r w:rsidR="00DF3B5E">
        <w:rPr>
          <w:rFonts w:ascii="Verdana" w:hAnsi="Verdana"/>
          <w:b/>
          <w:sz w:val="20"/>
          <w:szCs w:val="20"/>
        </w:rPr>
        <w:t>tra il 2005 e il 2014</w:t>
      </w: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Nell’ultimo decennio l’economia nazionale, come d’altronde quella del resto dei Paesi europei, ha negativamente risentito della difficile congiuntura internazionale. La sintesi di questo arretramento è espressa d</w:t>
      </w:r>
      <w:r w:rsidR="00401005">
        <w:rPr>
          <w:rFonts w:ascii="Verdana" w:hAnsi="Verdana"/>
          <w:sz w:val="20"/>
          <w:szCs w:val="20"/>
        </w:rPr>
        <w:t>a</w:t>
      </w:r>
      <w:r w:rsidRPr="00401005">
        <w:rPr>
          <w:rFonts w:ascii="Verdana" w:hAnsi="Verdana"/>
          <w:sz w:val="20"/>
          <w:szCs w:val="20"/>
        </w:rPr>
        <w:t>ll’andamento del P</w:t>
      </w:r>
      <w:r w:rsidR="00401005">
        <w:rPr>
          <w:rFonts w:ascii="Verdana" w:hAnsi="Verdana"/>
          <w:sz w:val="20"/>
          <w:szCs w:val="20"/>
        </w:rPr>
        <w:t>il</w:t>
      </w:r>
      <w:r w:rsidRPr="00401005">
        <w:rPr>
          <w:rFonts w:ascii="Verdana" w:hAnsi="Verdana"/>
          <w:sz w:val="20"/>
          <w:szCs w:val="20"/>
        </w:rPr>
        <w:t xml:space="preserve"> che nel periodo compreso tra il 2005 ed il 2014 è diminuito di 93,5 MLD di € con una caduta in termini percentuali di quasi il 6% (5,75%). </w:t>
      </w: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Il P</w:t>
      </w:r>
      <w:r w:rsidR="00401005">
        <w:rPr>
          <w:rFonts w:ascii="Verdana" w:hAnsi="Verdana"/>
          <w:sz w:val="20"/>
          <w:szCs w:val="20"/>
        </w:rPr>
        <w:t>il</w:t>
      </w:r>
      <w:r w:rsidRPr="00401005">
        <w:rPr>
          <w:rFonts w:ascii="Verdana" w:hAnsi="Verdana"/>
          <w:sz w:val="20"/>
          <w:szCs w:val="20"/>
        </w:rPr>
        <w:t xml:space="preserve"> offre un’immagine sintetica dello stato di salute dell’economia italiana, poiché indica la capacità del tessuto economico di incrementare la ricchezza del Paese, ma non è in grado di cogliere nel dettaglio le dinamiche evolutive dei singoli comparti economici che lo compongono. </w:t>
      </w: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Avanzando dunque nell’analisi di dettaglio di tali comparti emergono sostanziali differenze. In particolare</w:t>
      </w:r>
      <w:r w:rsidR="00401005">
        <w:rPr>
          <w:rFonts w:ascii="Verdana" w:hAnsi="Verdana"/>
          <w:sz w:val="20"/>
          <w:szCs w:val="20"/>
        </w:rPr>
        <w:t>,</w:t>
      </w:r>
      <w:r w:rsidRPr="00401005">
        <w:rPr>
          <w:rFonts w:ascii="Verdana" w:hAnsi="Verdana"/>
          <w:sz w:val="20"/>
          <w:szCs w:val="20"/>
        </w:rPr>
        <w:t xml:space="preserve"> si notano ritmi disomogenei tra il mondo della produzione e quello dei servizi. Mentre il primo traina verso il basso il P</w:t>
      </w:r>
      <w:r w:rsidR="00401005">
        <w:rPr>
          <w:rFonts w:ascii="Verdana" w:hAnsi="Verdana"/>
          <w:sz w:val="20"/>
          <w:szCs w:val="20"/>
        </w:rPr>
        <w:t>il</w:t>
      </w:r>
      <w:r w:rsidRPr="00401005">
        <w:rPr>
          <w:rFonts w:ascii="Verdana" w:hAnsi="Verdana"/>
          <w:sz w:val="20"/>
          <w:szCs w:val="20"/>
        </w:rPr>
        <w:t xml:space="preserve"> con un decremento nel periodo del 16,04% (corrispondente a un abbassamento in valori assoluti </w:t>
      </w:r>
      <w:r w:rsidR="00401005">
        <w:rPr>
          <w:rFonts w:ascii="Verdana" w:hAnsi="Verdana"/>
          <w:sz w:val="20"/>
          <w:szCs w:val="20"/>
        </w:rPr>
        <w:t xml:space="preserve">di </w:t>
      </w:r>
      <w:r w:rsidRPr="00401005">
        <w:rPr>
          <w:rFonts w:ascii="Verdana" w:hAnsi="Verdana"/>
          <w:sz w:val="20"/>
          <w:szCs w:val="20"/>
        </w:rPr>
        <w:t>61,3 MLD) il valore aggiunto prodotto dal comparto servizi è rimasto sostanzialmente invariato con un modesto assottigliamento dello 0,71% corrispondente a circa 7,5 MLD di €</w:t>
      </w:r>
      <w:r w:rsidR="000622DE">
        <w:rPr>
          <w:rFonts w:ascii="Verdana" w:hAnsi="Verdana"/>
          <w:sz w:val="20"/>
          <w:szCs w:val="20"/>
        </w:rPr>
        <w:t xml:space="preserve"> (Tab. 1)</w:t>
      </w:r>
      <w:r w:rsidRPr="00401005">
        <w:rPr>
          <w:rFonts w:ascii="Verdana" w:hAnsi="Verdana"/>
          <w:sz w:val="20"/>
          <w:szCs w:val="20"/>
        </w:rPr>
        <w:t xml:space="preserve">. </w:t>
      </w: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L’andamento disomogeneo delle due principali componenti del P</w:t>
      </w:r>
      <w:r w:rsidR="00401005">
        <w:rPr>
          <w:rFonts w:ascii="Verdana" w:hAnsi="Verdana"/>
          <w:sz w:val="20"/>
          <w:szCs w:val="20"/>
        </w:rPr>
        <w:t>il</w:t>
      </w:r>
      <w:r w:rsidRPr="00401005">
        <w:rPr>
          <w:rFonts w:ascii="Verdana" w:hAnsi="Verdana"/>
          <w:sz w:val="20"/>
          <w:szCs w:val="20"/>
        </w:rPr>
        <w:t xml:space="preserve"> ha determinato un incremento di ben 4 punti percentuali del peso del comparto servizi, che oggi rappresenta il 68,5% del P</w:t>
      </w:r>
      <w:r w:rsidR="00401005">
        <w:rPr>
          <w:rFonts w:ascii="Verdana" w:hAnsi="Verdana"/>
          <w:sz w:val="20"/>
          <w:szCs w:val="20"/>
        </w:rPr>
        <w:t>il</w:t>
      </w:r>
      <w:r w:rsidRPr="00401005">
        <w:rPr>
          <w:rFonts w:ascii="Verdana" w:hAnsi="Verdana"/>
          <w:sz w:val="20"/>
          <w:szCs w:val="20"/>
        </w:rPr>
        <w:t>, mentre nel 2005 si attestava al 64,5%.</w:t>
      </w: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 xml:space="preserve">La </w:t>
      </w:r>
      <w:r w:rsidR="000622DE">
        <w:rPr>
          <w:rFonts w:ascii="Verdana" w:hAnsi="Verdana"/>
          <w:sz w:val="20"/>
          <w:szCs w:val="20"/>
        </w:rPr>
        <w:t>“c</w:t>
      </w:r>
      <w:r w:rsidRPr="00401005">
        <w:rPr>
          <w:rFonts w:ascii="Verdana" w:hAnsi="Verdana"/>
          <w:sz w:val="20"/>
          <w:szCs w:val="20"/>
        </w:rPr>
        <w:t>enerentola</w:t>
      </w:r>
      <w:r w:rsidR="000622DE">
        <w:rPr>
          <w:rFonts w:ascii="Verdana" w:hAnsi="Verdana"/>
          <w:sz w:val="20"/>
          <w:szCs w:val="20"/>
        </w:rPr>
        <w:t>”</w:t>
      </w:r>
      <w:r w:rsidRPr="00401005">
        <w:rPr>
          <w:rFonts w:ascii="Verdana" w:hAnsi="Verdana"/>
          <w:sz w:val="20"/>
          <w:szCs w:val="20"/>
        </w:rPr>
        <w:t xml:space="preserve"> del comparto servizi è purtroppo la branca trasporti e logistica che da sola è responsabile di circa il 70% della perdita di valore dell’intero comparto servizi, pur rappresentando in termini percentuali solo il 4,5% dell’intero valore aggiunto prodotto da tale comparto. Infatti ben 5,2 MLD di € dei 7,5 ceduti complessivamente dal mondo dei servizi, sono da attribuire alle sole attività di trasporto merci e logistica.</w:t>
      </w:r>
    </w:p>
    <w:p w:rsidR="004934DA" w:rsidRDefault="004934DA" w:rsidP="000D228C">
      <w:pPr>
        <w:spacing w:after="0" w:line="240" w:lineRule="auto"/>
        <w:jc w:val="both"/>
        <w:rPr>
          <w:rFonts w:ascii="Verdana" w:hAnsi="Verdana"/>
          <w:sz w:val="20"/>
          <w:szCs w:val="20"/>
        </w:rPr>
      </w:pPr>
    </w:p>
    <w:p w:rsidR="000622DE" w:rsidRPr="00401005" w:rsidRDefault="000622DE" w:rsidP="000D228C">
      <w:pPr>
        <w:spacing w:after="0" w:line="240" w:lineRule="auto"/>
        <w:jc w:val="both"/>
        <w:rPr>
          <w:rFonts w:ascii="Verdana" w:hAnsi="Verdana"/>
          <w:sz w:val="20"/>
          <w:szCs w:val="20"/>
        </w:rPr>
      </w:pPr>
    </w:p>
    <w:tbl>
      <w:tblPr>
        <w:tblW w:w="9726" w:type="dxa"/>
        <w:tblInd w:w="55" w:type="dxa"/>
        <w:tblCellMar>
          <w:left w:w="70" w:type="dxa"/>
          <w:right w:w="70" w:type="dxa"/>
        </w:tblCellMar>
        <w:tblLook w:val="04A0" w:firstRow="1" w:lastRow="0" w:firstColumn="1" w:lastColumn="0" w:noHBand="0" w:noVBand="1"/>
      </w:tblPr>
      <w:tblGrid>
        <w:gridCol w:w="649"/>
        <w:gridCol w:w="2263"/>
        <w:gridCol w:w="3402"/>
        <w:gridCol w:w="2700"/>
        <w:gridCol w:w="219"/>
        <w:gridCol w:w="493"/>
      </w:tblGrid>
      <w:tr w:rsidR="004934DA" w:rsidRPr="00401005" w:rsidTr="004934DA">
        <w:trPr>
          <w:trHeight w:val="288"/>
        </w:trPr>
        <w:tc>
          <w:tcPr>
            <w:tcW w:w="9726" w:type="dxa"/>
            <w:gridSpan w:val="6"/>
            <w:tcBorders>
              <w:top w:val="nil"/>
              <w:left w:val="nil"/>
              <w:bottom w:val="nil"/>
              <w:right w:val="nil"/>
            </w:tcBorders>
            <w:shd w:val="clear" w:color="auto" w:fill="auto"/>
            <w:noWrap/>
            <w:vAlign w:val="bottom"/>
            <w:hideMark/>
          </w:tcPr>
          <w:p w:rsidR="004934DA" w:rsidRPr="00401005" w:rsidRDefault="004934DA" w:rsidP="00E239FE">
            <w:pPr>
              <w:spacing w:after="0" w:line="240" w:lineRule="auto"/>
              <w:rPr>
                <w:rFonts w:ascii="Verdana" w:hAnsi="Verdana"/>
                <w:i/>
                <w:color w:val="000000"/>
                <w:sz w:val="20"/>
                <w:szCs w:val="20"/>
              </w:rPr>
            </w:pPr>
            <w:r w:rsidRPr="00401005">
              <w:rPr>
                <w:rFonts w:ascii="Verdana" w:hAnsi="Verdana"/>
                <w:b/>
                <w:color w:val="000000"/>
                <w:sz w:val="20"/>
                <w:szCs w:val="20"/>
              </w:rPr>
              <w:t>Tab. 1 - Valore aggiunto ai prezzi base per branca di attività economica e Prodotto interno lordo</w:t>
            </w:r>
            <w:r>
              <w:rPr>
                <w:rFonts w:ascii="Verdana" w:hAnsi="Verdana"/>
                <w:b/>
                <w:color w:val="000000"/>
                <w:sz w:val="20"/>
                <w:szCs w:val="20"/>
              </w:rPr>
              <w:t xml:space="preserve"> </w:t>
            </w:r>
            <w:r w:rsidRPr="004934DA">
              <w:rPr>
                <w:rFonts w:ascii="Verdana" w:hAnsi="Verdana"/>
                <w:color w:val="000000"/>
                <w:sz w:val="20"/>
                <w:szCs w:val="20"/>
              </w:rPr>
              <w:t>(</w:t>
            </w:r>
            <w:r w:rsidRPr="00401005">
              <w:rPr>
                <w:rFonts w:ascii="Verdana" w:hAnsi="Verdana"/>
                <w:i/>
                <w:color w:val="000000"/>
                <w:sz w:val="20"/>
                <w:szCs w:val="20"/>
              </w:rPr>
              <w:t>Valori concatenati - Anno di riferimento 2010 - Milioni di euro</w:t>
            </w:r>
            <w:r>
              <w:rPr>
                <w:rFonts w:ascii="Verdana" w:hAnsi="Verdana"/>
                <w:i/>
                <w:color w:val="000000"/>
                <w:sz w:val="20"/>
                <w:szCs w:val="20"/>
              </w:rPr>
              <w:t>)</w:t>
            </w:r>
          </w:p>
        </w:tc>
      </w:tr>
      <w:tr w:rsidR="004934DA" w:rsidRPr="00401005" w:rsidTr="004934DA">
        <w:trPr>
          <w:gridAfter w:val="2"/>
          <w:wAfter w:w="712"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rPr>
                <w:rFonts w:ascii="Verdana" w:hAnsi="Verdana"/>
                <w:color w:val="000000"/>
                <w:sz w:val="20"/>
                <w:szCs w:val="20"/>
              </w:rPr>
            </w:pP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jc w:val="center"/>
              <w:rPr>
                <w:rFonts w:ascii="Verdana" w:hAnsi="Verdana"/>
                <w:b/>
                <w:bCs/>
                <w:color w:val="000000"/>
                <w:sz w:val="20"/>
                <w:szCs w:val="20"/>
              </w:rPr>
            </w:pPr>
            <w:r w:rsidRPr="00401005">
              <w:rPr>
                <w:rFonts w:ascii="Verdana" w:hAnsi="Verdana"/>
                <w:b/>
                <w:bCs/>
                <w:color w:val="000000"/>
                <w:sz w:val="20"/>
                <w:szCs w:val="20"/>
              </w:rPr>
              <w:t>Prodotto interno lordo</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jc w:val="center"/>
              <w:rPr>
                <w:rFonts w:ascii="Verdana" w:hAnsi="Verdana"/>
                <w:b/>
                <w:bCs/>
                <w:color w:val="000000"/>
                <w:sz w:val="20"/>
                <w:szCs w:val="20"/>
              </w:rPr>
            </w:pPr>
            <w:r w:rsidRPr="00401005">
              <w:rPr>
                <w:rFonts w:ascii="Verdana" w:hAnsi="Verdana"/>
                <w:b/>
                <w:bCs/>
                <w:color w:val="000000"/>
                <w:sz w:val="20"/>
                <w:szCs w:val="20"/>
              </w:rPr>
              <w:t>Comparto servizi</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jc w:val="center"/>
              <w:rPr>
                <w:rFonts w:ascii="Verdana" w:hAnsi="Verdana"/>
                <w:b/>
                <w:bCs/>
                <w:color w:val="000000"/>
                <w:sz w:val="20"/>
                <w:szCs w:val="20"/>
              </w:rPr>
            </w:pPr>
            <w:r w:rsidRPr="00401005">
              <w:rPr>
                <w:rFonts w:ascii="Verdana" w:hAnsi="Verdana"/>
                <w:b/>
                <w:bCs/>
                <w:color w:val="000000"/>
                <w:sz w:val="20"/>
                <w:szCs w:val="20"/>
              </w:rPr>
              <w:t>Branca dei Servizi di trasporto merci e logistica</w:t>
            </w:r>
          </w:p>
        </w:tc>
      </w:tr>
      <w:tr w:rsidR="004934DA" w:rsidRPr="00401005" w:rsidTr="004934DA">
        <w:trPr>
          <w:gridAfter w:val="2"/>
          <w:wAfter w:w="712"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2005</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1.630.722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1.052.546</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52.485,55</w:t>
            </w:r>
          </w:p>
        </w:tc>
      </w:tr>
      <w:tr w:rsidR="004934DA" w:rsidRPr="00401005" w:rsidTr="004934DA">
        <w:trPr>
          <w:gridAfter w:val="2"/>
          <w:wAfter w:w="712"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2009</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1.578.690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1.053.169</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50.214,45</w:t>
            </w:r>
          </w:p>
        </w:tc>
      </w:tr>
      <w:tr w:rsidR="004934DA" w:rsidRPr="00401005" w:rsidTr="004934DA">
        <w:trPr>
          <w:gridAfter w:val="2"/>
          <w:wAfter w:w="712"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2010</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1.605.694</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1.064.223</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50.636,30</w:t>
            </w:r>
          </w:p>
        </w:tc>
      </w:tr>
      <w:tr w:rsidR="004934DA" w:rsidRPr="00401005" w:rsidTr="004934DA">
        <w:trPr>
          <w:gridAfter w:val="2"/>
          <w:wAfter w:w="712"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2011</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1.615.117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1.073.433</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49.942,10</w:t>
            </w:r>
          </w:p>
        </w:tc>
      </w:tr>
      <w:tr w:rsidR="004934DA" w:rsidRPr="00401005" w:rsidTr="004934DA">
        <w:trPr>
          <w:gridAfter w:val="2"/>
          <w:wAfter w:w="712"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2012</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1.570.372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1.051.809</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48.049,95</w:t>
            </w:r>
          </w:p>
        </w:tc>
      </w:tr>
      <w:tr w:rsidR="004934DA" w:rsidRPr="00401005" w:rsidTr="004934DA">
        <w:trPr>
          <w:gridAfter w:val="2"/>
          <w:wAfter w:w="712"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2013</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1.543.702</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1.043.896</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47.268,00</w:t>
            </w:r>
          </w:p>
        </w:tc>
      </w:tr>
      <w:tr w:rsidR="000D228C" w:rsidRPr="00401005" w:rsidTr="004934DA">
        <w:trPr>
          <w:gridAfter w:val="1"/>
          <w:wAfter w:w="493" w:type="dxa"/>
          <w:trHeight w:val="288"/>
        </w:trPr>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2014</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1.537.125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1.044.985</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47.294,65</w:t>
            </w:r>
          </w:p>
        </w:tc>
        <w:tc>
          <w:tcPr>
            <w:tcW w:w="219" w:type="dxa"/>
            <w:tcBorders>
              <w:top w:val="nil"/>
              <w:left w:val="single" w:sz="4" w:space="0" w:color="auto"/>
              <w:bottom w:val="nil"/>
              <w:right w:val="nil"/>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p>
        </w:tc>
      </w:tr>
    </w:tbl>
    <w:p w:rsidR="000D228C" w:rsidRPr="00401005" w:rsidRDefault="000D228C" w:rsidP="00401005">
      <w:pPr>
        <w:spacing w:after="0" w:line="240" w:lineRule="auto"/>
        <w:rPr>
          <w:rFonts w:ascii="Verdana" w:hAnsi="Verdana"/>
          <w:i/>
          <w:iCs/>
          <w:color w:val="000000"/>
          <w:sz w:val="18"/>
          <w:szCs w:val="18"/>
        </w:rPr>
      </w:pPr>
      <w:r w:rsidRPr="00401005">
        <w:rPr>
          <w:rFonts w:ascii="Verdana" w:hAnsi="Verdana"/>
          <w:i/>
          <w:iCs/>
          <w:color w:val="000000"/>
          <w:sz w:val="18"/>
          <w:szCs w:val="18"/>
        </w:rPr>
        <w:t xml:space="preserve">Fonte: </w:t>
      </w:r>
      <w:r w:rsidR="004934DA">
        <w:rPr>
          <w:rFonts w:ascii="Verdana" w:hAnsi="Verdana"/>
          <w:i/>
          <w:iCs/>
          <w:color w:val="000000"/>
          <w:sz w:val="18"/>
          <w:szCs w:val="18"/>
        </w:rPr>
        <w:t>e</w:t>
      </w:r>
      <w:r w:rsidRPr="00401005">
        <w:rPr>
          <w:rFonts w:ascii="Verdana" w:hAnsi="Verdana"/>
          <w:i/>
          <w:iCs/>
          <w:color w:val="000000"/>
          <w:sz w:val="18"/>
          <w:szCs w:val="18"/>
        </w:rPr>
        <w:t>laborazioni Isfort-Ufficio Studi Confcommercio su dati CNIT, 2015</w:t>
      </w:r>
    </w:p>
    <w:p w:rsidR="000D228C" w:rsidRPr="00401005" w:rsidRDefault="000D228C" w:rsidP="000D228C">
      <w:pPr>
        <w:spacing w:after="0" w:line="240" w:lineRule="auto"/>
        <w:jc w:val="both"/>
        <w:rPr>
          <w:rFonts w:ascii="Verdana" w:hAnsi="Verdana"/>
          <w:sz w:val="20"/>
          <w:szCs w:val="20"/>
        </w:rPr>
      </w:pPr>
    </w:p>
    <w:p w:rsidR="004934DA" w:rsidRPr="004934DA" w:rsidRDefault="004934DA" w:rsidP="00E239FE">
      <w:pPr>
        <w:spacing w:after="0" w:line="240" w:lineRule="auto"/>
        <w:jc w:val="both"/>
        <w:rPr>
          <w:rFonts w:ascii="Verdana" w:hAnsi="Verdana"/>
          <w:sz w:val="20"/>
          <w:szCs w:val="20"/>
        </w:rPr>
      </w:pPr>
    </w:p>
    <w:p w:rsidR="004934DA" w:rsidRPr="004934DA" w:rsidRDefault="004934DA" w:rsidP="00E239FE">
      <w:pPr>
        <w:spacing w:after="0" w:line="240" w:lineRule="auto"/>
        <w:jc w:val="both"/>
        <w:rPr>
          <w:rFonts w:ascii="Verdana" w:hAnsi="Verdana"/>
          <w:sz w:val="20"/>
          <w:szCs w:val="20"/>
        </w:rPr>
      </w:pPr>
    </w:p>
    <w:p w:rsidR="004934DA" w:rsidRDefault="004934DA" w:rsidP="00E239FE">
      <w:pPr>
        <w:spacing w:after="0" w:line="240" w:lineRule="auto"/>
        <w:jc w:val="both"/>
        <w:rPr>
          <w:rFonts w:ascii="Verdana" w:hAnsi="Verdana"/>
          <w:sz w:val="20"/>
          <w:szCs w:val="20"/>
        </w:rPr>
      </w:pPr>
    </w:p>
    <w:p w:rsidR="000622DE" w:rsidRDefault="000622DE" w:rsidP="00E239FE">
      <w:pPr>
        <w:spacing w:after="0" w:line="240" w:lineRule="auto"/>
        <w:jc w:val="both"/>
        <w:rPr>
          <w:rFonts w:ascii="Verdana" w:hAnsi="Verdana"/>
          <w:sz w:val="20"/>
          <w:szCs w:val="20"/>
        </w:rPr>
      </w:pPr>
    </w:p>
    <w:p w:rsidR="000622DE" w:rsidRPr="00401005" w:rsidRDefault="000622DE" w:rsidP="000622DE">
      <w:pPr>
        <w:spacing w:after="0" w:line="240" w:lineRule="auto"/>
        <w:jc w:val="both"/>
        <w:rPr>
          <w:rFonts w:ascii="Verdana" w:hAnsi="Verdana"/>
          <w:sz w:val="20"/>
          <w:szCs w:val="20"/>
        </w:rPr>
      </w:pPr>
      <w:r w:rsidRPr="00401005">
        <w:rPr>
          <w:rFonts w:ascii="Verdana" w:hAnsi="Verdana"/>
          <w:sz w:val="20"/>
          <w:szCs w:val="20"/>
        </w:rPr>
        <w:t>La caduta dei servizi di trasporto merci e logistica è stata particolarmente rilevante. Nel periodo considerato la diminuzione del valore aggiunto prodotto da tali servizi è stata di quasi il 10% (9,9%). Essa è stata dunque 10 volte superiore a quella del comparto economico di appartenenza (servizi) e doppia rispetto a quella media del complesso dell’economia nazionale</w:t>
      </w:r>
      <w:r w:rsidR="00565C1F">
        <w:rPr>
          <w:rFonts w:ascii="Verdana" w:hAnsi="Verdana"/>
          <w:sz w:val="20"/>
          <w:szCs w:val="20"/>
        </w:rPr>
        <w:t xml:space="preserve"> (Tab. 2)</w:t>
      </w:r>
      <w:r w:rsidRPr="00401005">
        <w:rPr>
          <w:rFonts w:ascii="Verdana" w:hAnsi="Verdana"/>
          <w:sz w:val="20"/>
          <w:szCs w:val="20"/>
        </w:rPr>
        <w:t xml:space="preserve">. </w:t>
      </w:r>
    </w:p>
    <w:p w:rsidR="000622DE" w:rsidRDefault="000622DE" w:rsidP="00E239FE">
      <w:pPr>
        <w:spacing w:after="0" w:line="240" w:lineRule="auto"/>
        <w:jc w:val="both"/>
        <w:rPr>
          <w:rFonts w:ascii="Verdana" w:hAnsi="Verdana"/>
          <w:sz w:val="20"/>
          <w:szCs w:val="20"/>
        </w:rPr>
      </w:pPr>
    </w:p>
    <w:p w:rsidR="000622DE" w:rsidRPr="004934DA" w:rsidRDefault="000622DE" w:rsidP="00E239FE">
      <w:pPr>
        <w:spacing w:after="0" w:line="240" w:lineRule="auto"/>
        <w:jc w:val="both"/>
        <w:rPr>
          <w:rFonts w:ascii="Verdana" w:hAnsi="Verdana"/>
          <w:sz w:val="20"/>
          <w:szCs w:val="20"/>
        </w:rPr>
      </w:pPr>
    </w:p>
    <w:p w:rsidR="004934DA" w:rsidRPr="00401005" w:rsidRDefault="004934DA" w:rsidP="00E239FE">
      <w:pPr>
        <w:spacing w:after="0" w:line="240" w:lineRule="auto"/>
        <w:jc w:val="both"/>
        <w:rPr>
          <w:rFonts w:ascii="Verdana" w:hAnsi="Verdana"/>
          <w:b/>
          <w:sz w:val="20"/>
          <w:szCs w:val="20"/>
        </w:rPr>
      </w:pPr>
      <w:r w:rsidRPr="00401005">
        <w:rPr>
          <w:rFonts w:ascii="Verdana" w:hAnsi="Verdana"/>
          <w:b/>
          <w:sz w:val="20"/>
          <w:szCs w:val="20"/>
        </w:rPr>
        <w:t>Tab. 2 – Variazioni percentuali Valore aggiunto per comparto e branca di attività</w:t>
      </w:r>
    </w:p>
    <w:p w:rsidR="004934DA" w:rsidRPr="00401005" w:rsidRDefault="004934DA" w:rsidP="00E239FE">
      <w:pPr>
        <w:spacing w:after="0" w:line="240" w:lineRule="auto"/>
        <w:jc w:val="both"/>
        <w:rPr>
          <w:rFonts w:ascii="Verdana" w:hAnsi="Verdana"/>
          <w:i/>
          <w:sz w:val="20"/>
          <w:szCs w:val="20"/>
        </w:rPr>
      </w:pPr>
      <w:r w:rsidRPr="00401005">
        <w:rPr>
          <w:rFonts w:ascii="Verdana" w:hAnsi="Verdana"/>
          <w:i/>
          <w:sz w:val="20"/>
          <w:szCs w:val="20"/>
        </w:rPr>
        <w:t>Valori concatenati - Anno di riferimento 2010 - Milioni di euro</w:t>
      </w:r>
    </w:p>
    <w:tbl>
      <w:tblPr>
        <w:tblW w:w="9725" w:type="dxa"/>
        <w:tblInd w:w="55" w:type="dxa"/>
        <w:tblCellMar>
          <w:left w:w="70" w:type="dxa"/>
          <w:right w:w="70" w:type="dxa"/>
        </w:tblCellMar>
        <w:tblLook w:val="04A0" w:firstRow="1" w:lastRow="0" w:firstColumn="1" w:lastColumn="0" w:noHBand="0" w:noVBand="1"/>
      </w:tblPr>
      <w:tblGrid>
        <w:gridCol w:w="1769"/>
        <w:gridCol w:w="1431"/>
        <w:gridCol w:w="2706"/>
        <w:gridCol w:w="3819"/>
      </w:tblGrid>
      <w:tr w:rsidR="000D228C" w:rsidRPr="00401005" w:rsidTr="004934DA">
        <w:trPr>
          <w:trHeight w:val="288"/>
        </w:trPr>
        <w:tc>
          <w:tcPr>
            <w:tcW w:w="1575" w:type="dxa"/>
            <w:tcBorders>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rPr>
                <w:rFonts w:ascii="Verdana" w:hAnsi="Verdana"/>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jc w:val="center"/>
              <w:rPr>
                <w:rFonts w:ascii="Verdana" w:hAnsi="Verdana"/>
                <w:b/>
                <w:bCs/>
                <w:color w:val="000000"/>
                <w:sz w:val="20"/>
                <w:szCs w:val="20"/>
              </w:rPr>
            </w:pPr>
            <w:r w:rsidRPr="00401005">
              <w:rPr>
                <w:rFonts w:ascii="Verdana" w:hAnsi="Verdana"/>
                <w:b/>
                <w:bCs/>
                <w:color w:val="000000"/>
                <w:sz w:val="20"/>
                <w:szCs w:val="20"/>
              </w:rPr>
              <w:t>P</w:t>
            </w:r>
            <w:r w:rsidR="00401005">
              <w:rPr>
                <w:rFonts w:ascii="Verdana" w:hAnsi="Verdana"/>
                <w:b/>
                <w:bCs/>
                <w:color w:val="000000"/>
                <w:sz w:val="20"/>
                <w:szCs w:val="20"/>
              </w:rPr>
              <w:t>il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jc w:val="center"/>
              <w:rPr>
                <w:rFonts w:ascii="Verdana" w:hAnsi="Verdana"/>
                <w:b/>
                <w:bCs/>
                <w:color w:val="000000"/>
                <w:sz w:val="20"/>
                <w:szCs w:val="20"/>
              </w:rPr>
            </w:pPr>
            <w:r w:rsidRPr="00401005">
              <w:rPr>
                <w:rFonts w:ascii="Verdana" w:hAnsi="Verdana"/>
                <w:b/>
                <w:bCs/>
                <w:color w:val="000000"/>
                <w:sz w:val="20"/>
                <w:szCs w:val="20"/>
              </w:rPr>
              <w:t>Comparto servizi</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jc w:val="center"/>
              <w:rPr>
                <w:rFonts w:ascii="Verdana" w:hAnsi="Verdana"/>
                <w:b/>
                <w:bCs/>
                <w:color w:val="000000"/>
                <w:sz w:val="20"/>
                <w:szCs w:val="20"/>
              </w:rPr>
            </w:pPr>
            <w:r w:rsidRPr="00401005">
              <w:rPr>
                <w:rFonts w:ascii="Verdana" w:hAnsi="Verdana"/>
                <w:b/>
                <w:bCs/>
                <w:color w:val="000000"/>
                <w:sz w:val="20"/>
                <w:szCs w:val="20"/>
              </w:rPr>
              <w:t>Branca dei Servizi di trasporto merci e logistica</w:t>
            </w:r>
          </w:p>
        </w:tc>
      </w:tr>
      <w:tr w:rsidR="000D228C" w:rsidRPr="00401005" w:rsidTr="004934DA">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2005-2009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-3,2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0,1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-4,3</w:t>
            </w:r>
          </w:p>
        </w:tc>
      </w:tr>
      <w:tr w:rsidR="000D228C" w:rsidRPr="00401005" w:rsidTr="00401005">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2005-2010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-3,5</w:t>
            </w:r>
          </w:p>
        </w:tc>
      </w:tr>
      <w:tr w:rsidR="000D228C" w:rsidRPr="00401005" w:rsidTr="00401005">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2005-2011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-4,8</w:t>
            </w:r>
          </w:p>
        </w:tc>
      </w:tr>
      <w:tr w:rsidR="000D228C" w:rsidRPr="00401005" w:rsidTr="00401005">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2005-2012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-3,7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-0,1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-8,5</w:t>
            </w:r>
          </w:p>
        </w:tc>
      </w:tr>
      <w:tr w:rsidR="000D228C" w:rsidRPr="00401005" w:rsidTr="00401005">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2005-2013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-0,8</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-9,9</w:t>
            </w:r>
          </w:p>
        </w:tc>
      </w:tr>
      <w:tr w:rsidR="000D228C" w:rsidRPr="00401005" w:rsidTr="00401005">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2005-2014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-0,7</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-9,9</w:t>
            </w:r>
          </w:p>
        </w:tc>
      </w:tr>
    </w:tbl>
    <w:p w:rsidR="000D228C" w:rsidRPr="00401005" w:rsidRDefault="000D228C" w:rsidP="00401005">
      <w:pPr>
        <w:spacing w:after="0" w:line="240" w:lineRule="auto"/>
        <w:rPr>
          <w:rFonts w:ascii="Verdana" w:hAnsi="Verdana"/>
          <w:i/>
          <w:iCs/>
          <w:color w:val="000000"/>
          <w:sz w:val="18"/>
          <w:szCs w:val="18"/>
        </w:rPr>
      </w:pPr>
      <w:r w:rsidRPr="00401005">
        <w:rPr>
          <w:rFonts w:ascii="Verdana" w:hAnsi="Verdana"/>
          <w:i/>
          <w:iCs/>
          <w:color w:val="000000"/>
          <w:sz w:val="18"/>
          <w:szCs w:val="18"/>
        </w:rPr>
        <w:t xml:space="preserve">Fonte: </w:t>
      </w:r>
      <w:r w:rsidR="004934DA">
        <w:rPr>
          <w:rFonts w:ascii="Verdana" w:hAnsi="Verdana"/>
          <w:i/>
          <w:iCs/>
          <w:color w:val="000000"/>
          <w:sz w:val="18"/>
          <w:szCs w:val="18"/>
        </w:rPr>
        <w:t>e</w:t>
      </w:r>
      <w:r w:rsidRPr="00401005">
        <w:rPr>
          <w:rFonts w:ascii="Verdana" w:hAnsi="Verdana"/>
          <w:i/>
          <w:iCs/>
          <w:color w:val="000000"/>
          <w:sz w:val="18"/>
          <w:szCs w:val="18"/>
        </w:rPr>
        <w:t>laborazioni Isfort-Ufficio Studi Confcommercio su dati CNIT, 2015</w:t>
      </w:r>
    </w:p>
    <w:p w:rsidR="000D228C" w:rsidRPr="00401005" w:rsidRDefault="000D228C" w:rsidP="000D228C">
      <w:pPr>
        <w:spacing w:after="0" w:line="240" w:lineRule="auto"/>
        <w:jc w:val="both"/>
        <w:rPr>
          <w:rFonts w:ascii="Verdana" w:hAnsi="Verdana"/>
          <w:sz w:val="20"/>
          <w:szCs w:val="20"/>
        </w:rPr>
      </w:pPr>
    </w:p>
    <w:p w:rsidR="000D228C" w:rsidRPr="00401005" w:rsidRDefault="000D228C" w:rsidP="000D228C">
      <w:pPr>
        <w:spacing w:after="0" w:line="240" w:lineRule="auto"/>
        <w:jc w:val="both"/>
        <w:rPr>
          <w:rFonts w:ascii="Verdana" w:hAnsi="Verdana"/>
          <w:sz w:val="20"/>
          <w:szCs w:val="20"/>
        </w:rPr>
      </w:pPr>
    </w:p>
    <w:p w:rsidR="000D228C" w:rsidRPr="00401005" w:rsidRDefault="000D228C" w:rsidP="000D228C">
      <w:pPr>
        <w:spacing w:after="0" w:line="240" w:lineRule="auto"/>
        <w:jc w:val="both"/>
        <w:rPr>
          <w:rFonts w:ascii="Verdana" w:hAnsi="Verdana"/>
          <w:i/>
          <w:sz w:val="20"/>
          <w:szCs w:val="20"/>
        </w:rPr>
      </w:pPr>
      <w:r w:rsidRPr="00401005">
        <w:rPr>
          <w:rFonts w:ascii="Verdana" w:hAnsi="Verdana"/>
          <w:sz w:val="20"/>
          <w:szCs w:val="20"/>
        </w:rPr>
        <w:t xml:space="preserve">Per avere un’idea più concreta dell’impatto della flessione, non solo da punto di vista del valore aggiunto, ma anche del lavoro, si può prendere in considerazione il rapporto tra il valore aggiunto e le risorse umane complessive impiegate nel settore. Il risultato di tale rapporto è un valore medio che indica il valore aggiunto per addetto. Ebbene nel periodo di osservazione scelto (2005–2014) tale valore nella branca trasporto merci e logistica è sceso di ben 6.275 €, con una riduzione percentuale del 9,75%, mentre quello del comparto dei servizi nel suo insieme di 1.374€, con un diminuzione percentuale molto più contenuta del 2,19%, e quello relativo alla totalità delle attività economiche solo di poco più di 1.074 €, con recessione percentuale di poco inferiore a quella dei servizi dell’1,61% (Tab. </w:t>
      </w:r>
      <w:r w:rsidR="00565C1F">
        <w:rPr>
          <w:rFonts w:ascii="Verdana" w:hAnsi="Verdana"/>
          <w:sz w:val="20"/>
          <w:szCs w:val="20"/>
        </w:rPr>
        <w:t>3</w:t>
      </w:r>
      <w:r w:rsidRPr="00401005">
        <w:rPr>
          <w:rFonts w:ascii="Verdana" w:hAnsi="Verdana"/>
          <w:sz w:val="20"/>
          <w:szCs w:val="20"/>
        </w:rPr>
        <w:t>).</w:t>
      </w:r>
    </w:p>
    <w:tbl>
      <w:tblPr>
        <w:tblW w:w="10295" w:type="dxa"/>
        <w:tblInd w:w="55" w:type="dxa"/>
        <w:tblCellMar>
          <w:left w:w="70" w:type="dxa"/>
          <w:right w:w="70" w:type="dxa"/>
        </w:tblCellMar>
        <w:tblLook w:val="04A0" w:firstRow="1" w:lastRow="0" w:firstColumn="1" w:lastColumn="0" w:noHBand="0" w:noVBand="1"/>
      </w:tblPr>
      <w:tblGrid>
        <w:gridCol w:w="960"/>
        <w:gridCol w:w="2174"/>
        <w:gridCol w:w="2693"/>
        <w:gridCol w:w="3544"/>
        <w:gridCol w:w="924"/>
      </w:tblGrid>
      <w:tr w:rsidR="000D228C" w:rsidRPr="00401005" w:rsidTr="00E239FE">
        <w:trPr>
          <w:trHeight w:val="288"/>
        </w:trPr>
        <w:tc>
          <w:tcPr>
            <w:tcW w:w="10295" w:type="dxa"/>
            <w:gridSpan w:val="5"/>
            <w:tcBorders>
              <w:top w:val="nil"/>
              <w:left w:val="nil"/>
              <w:bottom w:val="nil"/>
              <w:right w:val="nil"/>
            </w:tcBorders>
            <w:shd w:val="clear" w:color="auto" w:fill="auto"/>
            <w:noWrap/>
            <w:vAlign w:val="bottom"/>
            <w:hideMark/>
          </w:tcPr>
          <w:p w:rsidR="000D228C" w:rsidRPr="00DF3B5E" w:rsidRDefault="000D228C" w:rsidP="00E239FE">
            <w:pPr>
              <w:spacing w:after="0" w:line="240" w:lineRule="auto"/>
              <w:rPr>
                <w:rFonts w:ascii="Verdana" w:hAnsi="Verdana"/>
                <w:color w:val="000000"/>
                <w:sz w:val="20"/>
                <w:szCs w:val="20"/>
              </w:rPr>
            </w:pPr>
          </w:p>
          <w:p w:rsidR="000D228C" w:rsidRPr="00DF3B5E" w:rsidRDefault="000D228C" w:rsidP="00E239FE">
            <w:pPr>
              <w:spacing w:after="0" w:line="240" w:lineRule="auto"/>
              <w:rPr>
                <w:rFonts w:ascii="Verdana" w:hAnsi="Verdana"/>
                <w:color w:val="000000"/>
                <w:sz w:val="20"/>
                <w:szCs w:val="20"/>
              </w:rPr>
            </w:pPr>
          </w:p>
          <w:p w:rsidR="000D228C" w:rsidRPr="00401005" w:rsidRDefault="000D228C" w:rsidP="00565C1F">
            <w:pPr>
              <w:spacing w:after="0" w:line="240" w:lineRule="auto"/>
              <w:rPr>
                <w:rFonts w:ascii="Verdana" w:hAnsi="Verdana"/>
                <w:b/>
                <w:color w:val="000000"/>
                <w:sz w:val="20"/>
                <w:szCs w:val="20"/>
              </w:rPr>
            </w:pPr>
            <w:r w:rsidRPr="00401005">
              <w:rPr>
                <w:rFonts w:ascii="Verdana" w:hAnsi="Verdana"/>
                <w:b/>
                <w:color w:val="000000"/>
                <w:sz w:val="20"/>
                <w:szCs w:val="20"/>
              </w:rPr>
              <w:t xml:space="preserve">Tab. </w:t>
            </w:r>
            <w:r w:rsidR="00565C1F">
              <w:rPr>
                <w:rFonts w:ascii="Verdana" w:hAnsi="Verdana"/>
                <w:b/>
                <w:color w:val="000000"/>
                <w:sz w:val="20"/>
                <w:szCs w:val="20"/>
              </w:rPr>
              <w:t>3</w:t>
            </w:r>
            <w:r w:rsidRPr="00401005">
              <w:rPr>
                <w:rFonts w:ascii="Verdana" w:hAnsi="Verdana"/>
                <w:b/>
                <w:color w:val="000000"/>
                <w:sz w:val="20"/>
                <w:szCs w:val="20"/>
              </w:rPr>
              <w:t xml:space="preserve"> - Valore aggiunto per unità di lavoro totali (dipendenti + indipendenti) per branca di attività economica</w:t>
            </w:r>
          </w:p>
        </w:tc>
      </w:tr>
      <w:tr w:rsidR="000D228C" w:rsidRPr="00401005" w:rsidTr="00E239FE">
        <w:trPr>
          <w:trHeight w:val="288"/>
        </w:trPr>
        <w:tc>
          <w:tcPr>
            <w:tcW w:w="10295" w:type="dxa"/>
            <w:gridSpan w:val="5"/>
            <w:tcBorders>
              <w:top w:val="nil"/>
              <w:left w:val="nil"/>
              <w:bottom w:val="nil"/>
              <w:right w:val="nil"/>
            </w:tcBorders>
            <w:shd w:val="clear" w:color="auto" w:fill="auto"/>
            <w:noWrap/>
            <w:vAlign w:val="bottom"/>
            <w:hideMark/>
          </w:tcPr>
          <w:p w:rsidR="000D228C" w:rsidRPr="00401005" w:rsidRDefault="000D228C" w:rsidP="00E239FE">
            <w:pPr>
              <w:spacing w:after="0" w:line="240" w:lineRule="auto"/>
              <w:rPr>
                <w:rFonts w:ascii="Verdana" w:hAnsi="Verdana"/>
                <w:color w:val="000000"/>
                <w:sz w:val="20"/>
                <w:szCs w:val="20"/>
              </w:rPr>
            </w:pPr>
            <w:r w:rsidRPr="00401005">
              <w:rPr>
                <w:rFonts w:ascii="Verdana" w:hAnsi="Verdana"/>
                <w:i/>
                <w:color w:val="000000"/>
                <w:sz w:val="20"/>
                <w:szCs w:val="20"/>
              </w:rPr>
              <w:t>Valori concatenati - Anno di riferimento 2010 – Valori assoluti</w:t>
            </w:r>
          </w:p>
        </w:tc>
      </w:tr>
      <w:tr w:rsidR="000D228C" w:rsidRPr="00401005" w:rsidTr="00401005">
        <w:trPr>
          <w:gridBefore w:val="1"/>
          <w:gridAfter w:val="1"/>
          <w:wBefore w:w="960" w:type="dxa"/>
          <w:wAfter w:w="924" w:type="dxa"/>
          <w:trHeight w:val="288"/>
        </w:trPr>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b/>
                <w:bCs/>
                <w:color w:val="000000"/>
                <w:sz w:val="20"/>
                <w:szCs w:val="20"/>
              </w:rPr>
            </w:pPr>
            <w:r w:rsidRPr="00401005">
              <w:rPr>
                <w:rFonts w:ascii="Verdana" w:hAnsi="Verdana"/>
                <w:b/>
                <w:bCs/>
                <w:color w:val="000000"/>
                <w:sz w:val="20"/>
                <w:szCs w:val="20"/>
              </w:rPr>
              <w:t>Totale tutti i comparti</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b/>
                <w:bCs/>
                <w:color w:val="000000"/>
                <w:sz w:val="20"/>
                <w:szCs w:val="20"/>
              </w:rPr>
            </w:pPr>
            <w:r w:rsidRPr="00401005">
              <w:rPr>
                <w:rFonts w:ascii="Verdana" w:hAnsi="Verdana"/>
                <w:b/>
                <w:bCs/>
                <w:color w:val="000000"/>
                <w:sz w:val="20"/>
                <w:szCs w:val="20"/>
              </w:rPr>
              <w:t>Totale comparto servizi</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b/>
                <w:bCs/>
                <w:color w:val="000000"/>
                <w:sz w:val="20"/>
                <w:szCs w:val="20"/>
              </w:rPr>
            </w:pPr>
            <w:r w:rsidRPr="00401005">
              <w:rPr>
                <w:rFonts w:ascii="Verdana" w:hAnsi="Verdana"/>
                <w:b/>
                <w:bCs/>
                <w:color w:val="000000"/>
                <w:sz w:val="20"/>
                <w:szCs w:val="20"/>
              </w:rPr>
              <w:t>Servizi di trasporto merci e logistica</w:t>
            </w:r>
          </w:p>
        </w:tc>
      </w:tr>
      <w:tr w:rsidR="000D228C" w:rsidRPr="00401005" w:rsidTr="00401005">
        <w:trPr>
          <w:gridAfter w:val="1"/>
          <w:wAfter w:w="924" w:type="dxa"/>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2005</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66.662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62.673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64.328</w:t>
            </w:r>
          </w:p>
        </w:tc>
      </w:tr>
      <w:tr w:rsidR="000D228C" w:rsidRPr="00401005" w:rsidTr="00401005">
        <w:trPr>
          <w:gridAfter w:val="1"/>
          <w:wAfter w:w="924" w:type="dxa"/>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2009</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64.872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61.531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61.845</w:t>
            </w:r>
          </w:p>
        </w:tc>
      </w:tr>
      <w:tr w:rsidR="000D228C" w:rsidRPr="00401005" w:rsidTr="00401005">
        <w:trPr>
          <w:gridAfter w:val="1"/>
          <w:wAfter w:w="924" w:type="dxa"/>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2010</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66.544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62.335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62.815</w:t>
            </w:r>
          </w:p>
        </w:tc>
      </w:tr>
      <w:tr w:rsidR="000D228C" w:rsidRPr="00401005" w:rsidTr="00401005">
        <w:trPr>
          <w:gridAfter w:val="1"/>
          <w:wAfter w:w="924" w:type="dxa"/>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2011</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66.845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62.527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61.515</w:t>
            </w:r>
          </w:p>
        </w:tc>
      </w:tr>
      <w:tr w:rsidR="000D228C" w:rsidRPr="00401005" w:rsidTr="00401005">
        <w:trPr>
          <w:gridAfter w:val="1"/>
          <w:wAfter w:w="924" w:type="dxa"/>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2012</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65.898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61.451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59.100</w:t>
            </w:r>
          </w:p>
        </w:tc>
      </w:tr>
      <w:tr w:rsidR="000D228C" w:rsidRPr="00401005" w:rsidTr="00401005">
        <w:trPr>
          <w:gridAfter w:val="1"/>
          <w:wAfter w:w="924" w:type="dxa"/>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2013</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66.016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61.548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58.974</w:t>
            </w:r>
          </w:p>
        </w:tc>
      </w:tr>
      <w:tr w:rsidR="000D228C" w:rsidRPr="00401005" w:rsidTr="00401005">
        <w:trPr>
          <w:gridAfter w:val="1"/>
          <w:wAfter w:w="924" w:type="dxa"/>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401005">
            <w:pPr>
              <w:spacing w:after="0" w:line="240" w:lineRule="auto"/>
              <w:jc w:val="center"/>
              <w:rPr>
                <w:rFonts w:ascii="Verdana" w:hAnsi="Verdana"/>
                <w:color w:val="000000"/>
                <w:sz w:val="20"/>
                <w:szCs w:val="20"/>
              </w:rPr>
            </w:pPr>
            <w:r w:rsidRPr="00401005">
              <w:rPr>
                <w:rFonts w:ascii="Verdana" w:hAnsi="Verdana"/>
                <w:color w:val="000000"/>
                <w:sz w:val="20"/>
                <w:szCs w:val="20"/>
              </w:rPr>
              <w:t>2014</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65.588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61.299</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28C" w:rsidRPr="00401005" w:rsidRDefault="000D228C"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58.053</w:t>
            </w:r>
          </w:p>
        </w:tc>
      </w:tr>
    </w:tbl>
    <w:p w:rsidR="000D228C" w:rsidRPr="00401005" w:rsidRDefault="000D228C" w:rsidP="000D228C">
      <w:pPr>
        <w:spacing w:after="0" w:line="240" w:lineRule="auto"/>
        <w:rPr>
          <w:rFonts w:ascii="Verdana" w:hAnsi="Verdana"/>
          <w:i/>
          <w:iCs/>
          <w:color w:val="000000"/>
          <w:sz w:val="18"/>
          <w:szCs w:val="18"/>
        </w:rPr>
      </w:pPr>
      <w:r w:rsidRPr="00401005">
        <w:rPr>
          <w:rFonts w:ascii="Verdana" w:hAnsi="Verdana"/>
          <w:i/>
          <w:iCs/>
          <w:color w:val="000000"/>
          <w:sz w:val="18"/>
          <w:szCs w:val="18"/>
        </w:rPr>
        <w:t xml:space="preserve">Fonte: </w:t>
      </w:r>
      <w:r w:rsidR="004934DA">
        <w:rPr>
          <w:rFonts w:ascii="Verdana" w:hAnsi="Verdana"/>
          <w:i/>
          <w:iCs/>
          <w:color w:val="000000"/>
          <w:sz w:val="18"/>
          <w:szCs w:val="18"/>
        </w:rPr>
        <w:t>e</w:t>
      </w:r>
      <w:r w:rsidRPr="00401005">
        <w:rPr>
          <w:rFonts w:ascii="Verdana" w:hAnsi="Verdana"/>
          <w:i/>
          <w:iCs/>
          <w:color w:val="000000"/>
          <w:sz w:val="18"/>
          <w:szCs w:val="18"/>
        </w:rPr>
        <w:t>laborazioni Isfort-Ufficio Studi Confcommercio su dati CNIT, 2015</w:t>
      </w:r>
    </w:p>
    <w:p w:rsidR="00DF3B5E" w:rsidRDefault="00DF3B5E">
      <w:pPr>
        <w:rPr>
          <w:rFonts w:ascii="Verdana" w:hAnsi="Verdana"/>
          <w:sz w:val="20"/>
          <w:szCs w:val="20"/>
        </w:rPr>
      </w:pPr>
      <w:r>
        <w:rPr>
          <w:rFonts w:ascii="Verdana" w:hAnsi="Verdana"/>
          <w:sz w:val="20"/>
          <w:szCs w:val="20"/>
        </w:rPr>
        <w:br w:type="page"/>
      </w:r>
    </w:p>
    <w:p w:rsidR="000D228C" w:rsidRPr="00DF3B5E" w:rsidRDefault="000D228C" w:rsidP="000D228C">
      <w:pPr>
        <w:spacing w:after="0" w:line="240" w:lineRule="auto"/>
        <w:rPr>
          <w:rFonts w:ascii="Verdana" w:hAnsi="Verdana"/>
          <w:sz w:val="20"/>
          <w:szCs w:val="20"/>
        </w:rPr>
      </w:pPr>
    </w:p>
    <w:p w:rsidR="00401005" w:rsidRPr="00DF3B5E" w:rsidRDefault="00401005" w:rsidP="000D228C">
      <w:pPr>
        <w:spacing w:after="0" w:line="240" w:lineRule="auto"/>
        <w:rPr>
          <w:rFonts w:ascii="Verdana" w:hAnsi="Verdana"/>
          <w:sz w:val="20"/>
          <w:szCs w:val="20"/>
        </w:rPr>
      </w:pPr>
    </w:p>
    <w:p w:rsidR="00401005" w:rsidRPr="00DF3B5E" w:rsidRDefault="00401005" w:rsidP="000D228C">
      <w:pPr>
        <w:spacing w:after="0" w:line="240" w:lineRule="auto"/>
        <w:rPr>
          <w:rFonts w:ascii="Verdana" w:hAnsi="Verdana"/>
          <w:sz w:val="20"/>
          <w:szCs w:val="20"/>
        </w:rPr>
      </w:pPr>
    </w:p>
    <w:p w:rsidR="000D228C" w:rsidRPr="00401005" w:rsidRDefault="000D228C" w:rsidP="000D228C">
      <w:pPr>
        <w:spacing w:after="0" w:line="240" w:lineRule="auto"/>
        <w:rPr>
          <w:rFonts w:ascii="Verdana" w:hAnsi="Verdana"/>
          <w:b/>
          <w:sz w:val="20"/>
          <w:szCs w:val="20"/>
        </w:rPr>
      </w:pPr>
      <w:r w:rsidRPr="00401005">
        <w:rPr>
          <w:rFonts w:ascii="Verdana" w:hAnsi="Verdana"/>
          <w:b/>
          <w:sz w:val="20"/>
          <w:szCs w:val="20"/>
        </w:rPr>
        <w:t>Modesta crescita della rete stradale e ferroviaria</w:t>
      </w:r>
    </w:p>
    <w:p w:rsidR="000D228C" w:rsidRPr="00401005" w:rsidRDefault="000D228C" w:rsidP="000D228C">
      <w:pPr>
        <w:spacing w:after="0" w:line="240" w:lineRule="auto"/>
        <w:jc w:val="both"/>
        <w:rPr>
          <w:rFonts w:ascii="Verdana" w:hAnsi="Verdana"/>
          <w:sz w:val="20"/>
          <w:szCs w:val="20"/>
        </w:rPr>
      </w:pP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Dal 1990 in poi la dimensione della rete stradale e ferroviaria ad alta velocità è cresciuta, anche se in modo meno intenso rispetto ai principali Paesi dell’Unione Europea. Tra il 1990 ed il 2013 la rete ferroviaria ad alta velocità italiana è cresciuta di 699</w:t>
      </w:r>
      <w:r w:rsidR="00565C1F">
        <w:rPr>
          <w:rFonts w:ascii="Verdana" w:hAnsi="Verdana"/>
          <w:sz w:val="20"/>
          <w:szCs w:val="20"/>
        </w:rPr>
        <w:t xml:space="preserve"> Km</w:t>
      </w:r>
      <w:r w:rsidRPr="00401005">
        <w:rPr>
          <w:rFonts w:ascii="Verdana" w:hAnsi="Verdana"/>
          <w:sz w:val="20"/>
          <w:szCs w:val="20"/>
        </w:rPr>
        <w:t>, quella tedesca di 1.224</w:t>
      </w:r>
      <w:r w:rsidR="00565C1F">
        <w:rPr>
          <w:rFonts w:ascii="Verdana" w:hAnsi="Verdana"/>
          <w:sz w:val="20"/>
          <w:szCs w:val="20"/>
        </w:rPr>
        <w:t xml:space="preserve"> Km</w:t>
      </w:r>
      <w:r w:rsidRPr="00401005">
        <w:rPr>
          <w:rFonts w:ascii="Verdana" w:hAnsi="Verdana"/>
          <w:sz w:val="20"/>
          <w:szCs w:val="20"/>
        </w:rPr>
        <w:t>, quella francese di 1.326</w:t>
      </w:r>
      <w:r w:rsidR="00565C1F">
        <w:rPr>
          <w:rFonts w:ascii="Verdana" w:hAnsi="Verdana"/>
          <w:sz w:val="20"/>
          <w:szCs w:val="20"/>
        </w:rPr>
        <w:t xml:space="preserve"> Km</w:t>
      </w:r>
      <w:r w:rsidRPr="00401005">
        <w:rPr>
          <w:rFonts w:ascii="Verdana" w:hAnsi="Verdana"/>
          <w:sz w:val="20"/>
          <w:szCs w:val="20"/>
        </w:rPr>
        <w:t xml:space="preserve"> e quella spagnola addirittura di 2.515 Km. Mentre nel 1990 la Spagna non aveva una rete ferroviaria ad alta velocità e l’Italia poteva contare già su 224 Km, nel 2013 la Spagna dispone di una rete estesa più del doppio di quella Italiana</w:t>
      </w:r>
      <w:r w:rsidR="00565C1F">
        <w:rPr>
          <w:rFonts w:ascii="Verdana" w:hAnsi="Verdana"/>
          <w:sz w:val="20"/>
          <w:szCs w:val="20"/>
        </w:rPr>
        <w:t xml:space="preserve"> (Tab. 3)</w:t>
      </w:r>
      <w:r w:rsidRPr="00401005">
        <w:rPr>
          <w:rFonts w:ascii="Verdana" w:hAnsi="Verdana"/>
          <w:sz w:val="20"/>
          <w:szCs w:val="20"/>
        </w:rPr>
        <w:t>.</w:t>
      </w: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Ancora più grave è il rallentamento della crescita della rete stradale. Tra il 1990 ed il 2011 l’ampliamento della rete della rete italiana è stato leggermente inferiore a quello della rete inglese, mentre quello della rete tedesca è stato 4 volte superiore, quello della rete francese quasi 10 volte superiore (9,7) ed infine quello della rete spagnola è stata di più di 20 volte superiore</w:t>
      </w:r>
      <w:r w:rsidR="00565C1F">
        <w:rPr>
          <w:rFonts w:ascii="Verdana" w:hAnsi="Verdana"/>
          <w:sz w:val="20"/>
          <w:szCs w:val="20"/>
        </w:rPr>
        <w:t xml:space="preserve"> (Tab. 4).</w:t>
      </w:r>
    </w:p>
    <w:p w:rsidR="000D228C" w:rsidRPr="00401005" w:rsidRDefault="000D228C" w:rsidP="000D228C">
      <w:pPr>
        <w:spacing w:after="0" w:line="240" w:lineRule="auto"/>
        <w:jc w:val="both"/>
        <w:rPr>
          <w:rFonts w:ascii="Verdana" w:hAnsi="Verdana"/>
          <w:sz w:val="20"/>
          <w:szCs w:val="20"/>
        </w:rPr>
      </w:pPr>
      <w:r w:rsidRPr="00401005">
        <w:rPr>
          <w:rFonts w:ascii="Verdana" w:hAnsi="Verdana"/>
          <w:sz w:val="20"/>
          <w:szCs w:val="20"/>
        </w:rPr>
        <w:t xml:space="preserve">Nel 1990 la rete autostradale italiana era seconda solo a quella della Germania e leggermente meno estesa rispetto a quella francese e significativamente più ampia rispetto a quella spagnola. Nel 2011 l’estensione sia della rete tedesca, sia di quella francese è praticamente doppia rispetto a quella italiana, mentre la rete spagnola è diventata la più estesa d’Europa con quasi 2.000 Km di rete in più rispetto alla Germania. </w:t>
      </w:r>
    </w:p>
    <w:p w:rsidR="000D228C" w:rsidRPr="00401005" w:rsidRDefault="000D228C" w:rsidP="000D228C">
      <w:pPr>
        <w:spacing w:after="0" w:line="240" w:lineRule="auto"/>
        <w:jc w:val="both"/>
        <w:rPr>
          <w:rFonts w:ascii="Verdana" w:hAnsi="Verdana"/>
          <w:sz w:val="20"/>
          <w:szCs w:val="20"/>
        </w:rPr>
      </w:pPr>
    </w:p>
    <w:p w:rsidR="000D228C" w:rsidRPr="00401005" w:rsidRDefault="000D228C" w:rsidP="000D228C">
      <w:pPr>
        <w:spacing w:after="0" w:line="240" w:lineRule="auto"/>
        <w:jc w:val="both"/>
        <w:rPr>
          <w:rFonts w:ascii="Verdana" w:hAnsi="Verdana"/>
          <w:sz w:val="20"/>
          <w:szCs w:val="20"/>
        </w:rPr>
      </w:pPr>
    </w:p>
    <w:tbl>
      <w:tblPr>
        <w:tblW w:w="9087" w:type="dxa"/>
        <w:tblInd w:w="55" w:type="dxa"/>
        <w:tblCellMar>
          <w:left w:w="70" w:type="dxa"/>
          <w:right w:w="70" w:type="dxa"/>
        </w:tblCellMar>
        <w:tblLook w:val="04A0" w:firstRow="1" w:lastRow="0" w:firstColumn="1" w:lastColumn="0" w:noHBand="0" w:noVBand="1"/>
      </w:tblPr>
      <w:tblGrid>
        <w:gridCol w:w="1575"/>
        <w:gridCol w:w="849"/>
        <w:gridCol w:w="1065"/>
        <w:gridCol w:w="1065"/>
        <w:gridCol w:w="2733"/>
        <w:gridCol w:w="1800"/>
      </w:tblGrid>
      <w:tr w:rsidR="000D228C" w:rsidRPr="00401005" w:rsidTr="00E239FE">
        <w:trPr>
          <w:trHeight w:val="288"/>
        </w:trPr>
        <w:tc>
          <w:tcPr>
            <w:tcW w:w="9087" w:type="dxa"/>
            <w:gridSpan w:val="6"/>
            <w:tcBorders>
              <w:top w:val="nil"/>
              <w:left w:val="nil"/>
              <w:bottom w:val="nil"/>
              <w:right w:val="nil"/>
            </w:tcBorders>
            <w:shd w:val="clear" w:color="auto" w:fill="auto"/>
            <w:noWrap/>
            <w:vAlign w:val="bottom"/>
            <w:hideMark/>
          </w:tcPr>
          <w:p w:rsidR="000D228C" w:rsidRPr="00401005" w:rsidRDefault="000D228C" w:rsidP="00E239FE">
            <w:pPr>
              <w:spacing w:after="0" w:line="240" w:lineRule="auto"/>
              <w:rPr>
                <w:rFonts w:ascii="Verdana" w:hAnsi="Verdana"/>
                <w:b/>
                <w:bCs/>
                <w:color w:val="000000"/>
                <w:sz w:val="20"/>
                <w:szCs w:val="20"/>
              </w:rPr>
            </w:pPr>
            <w:r w:rsidRPr="00401005">
              <w:rPr>
                <w:rFonts w:ascii="Verdana" w:hAnsi="Verdana"/>
                <w:b/>
                <w:bCs/>
                <w:color w:val="000000"/>
                <w:sz w:val="20"/>
                <w:szCs w:val="20"/>
              </w:rPr>
              <w:t>Tab. 3 - Dati assoluti dell’ampliamento delle rete autostradale e ferroviaria AV in Km</w:t>
            </w:r>
          </w:p>
          <w:p w:rsidR="000D228C" w:rsidRPr="00401005" w:rsidRDefault="000D228C" w:rsidP="00E239FE">
            <w:pPr>
              <w:spacing w:after="0" w:line="240" w:lineRule="auto"/>
              <w:rPr>
                <w:rFonts w:ascii="Verdana" w:hAnsi="Verdana"/>
                <w:b/>
                <w:bCs/>
                <w:color w:val="000000"/>
                <w:sz w:val="20"/>
                <w:szCs w:val="20"/>
              </w:rPr>
            </w:pPr>
          </w:p>
          <w:p w:rsidR="000D228C" w:rsidRPr="00401005" w:rsidRDefault="000D228C" w:rsidP="00E239FE">
            <w:pPr>
              <w:spacing w:after="0" w:line="240" w:lineRule="auto"/>
              <w:rPr>
                <w:rFonts w:ascii="Verdana" w:hAnsi="Verdana"/>
                <w:color w:val="000000"/>
                <w:sz w:val="20"/>
                <w:szCs w:val="20"/>
              </w:rPr>
            </w:pPr>
            <w:r w:rsidRPr="00401005">
              <w:rPr>
                <w:rFonts w:ascii="Verdana" w:hAnsi="Verdana"/>
                <w:b/>
                <w:bCs/>
                <w:color w:val="000000"/>
                <w:sz w:val="20"/>
                <w:szCs w:val="20"/>
              </w:rPr>
              <w:t>Lunghezza rete ferroviaria AV in Km</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i/>
                <w:color w:val="000000"/>
                <w:sz w:val="20"/>
                <w:szCs w:val="20"/>
              </w:rPr>
            </w:pPr>
            <w:r w:rsidRPr="00401005">
              <w:rPr>
                <w:rFonts w:ascii="Verdana" w:hAnsi="Verdana"/>
                <w:i/>
                <w:color w:val="000000"/>
                <w:sz w:val="20"/>
                <w:szCs w:val="20"/>
              </w:rPr>
              <w:t>Anno</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i/>
                <w:color w:val="000000"/>
                <w:sz w:val="20"/>
                <w:szCs w:val="20"/>
              </w:rPr>
            </w:pPr>
            <w:r w:rsidRPr="00401005">
              <w:rPr>
                <w:rFonts w:ascii="Verdana" w:hAnsi="Verdana"/>
                <w:i/>
                <w:color w:val="000000"/>
                <w:sz w:val="20"/>
                <w:szCs w:val="20"/>
              </w:rPr>
              <w:t>1990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i/>
                <w:color w:val="000000"/>
                <w:sz w:val="20"/>
                <w:szCs w:val="20"/>
              </w:rPr>
            </w:pPr>
            <w:r w:rsidRPr="00401005">
              <w:rPr>
                <w:rFonts w:ascii="Verdana" w:hAnsi="Verdana"/>
                <w:i/>
                <w:color w:val="000000"/>
                <w:sz w:val="20"/>
                <w:szCs w:val="20"/>
              </w:rPr>
              <w:t>2000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i/>
                <w:color w:val="000000"/>
                <w:sz w:val="20"/>
                <w:szCs w:val="20"/>
              </w:rPr>
            </w:pPr>
            <w:r w:rsidRPr="00401005">
              <w:rPr>
                <w:rFonts w:ascii="Verdana" w:hAnsi="Verdana"/>
                <w:i/>
                <w:color w:val="000000"/>
                <w:sz w:val="20"/>
                <w:szCs w:val="20"/>
              </w:rPr>
              <w:t>2013</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ITALIA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224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248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923</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Germania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90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636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1.334</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Francia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710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1.281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2.036</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Spagna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471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2.515</w:t>
            </w:r>
          </w:p>
        </w:tc>
      </w:tr>
      <w:tr w:rsidR="000D228C" w:rsidRPr="00401005" w:rsidTr="004934DA">
        <w:trPr>
          <w:gridAfter w:val="1"/>
          <w:wAfter w:w="1800" w:type="dxa"/>
          <w:trHeight w:val="288"/>
        </w:trPr>
        <w:tc>
          <w:tcPr>
            <w:tcW w:w="7287" w:type="dxa"/>
            <w:gridSpan w:val="5"/>
            <w:tcBorders>
              <w:top w:val="nil"/>
              <w:left w:val="nil"/>
              <w:bottom w:val="nil"/>
              <w:right w:val="nil"/>
            </w:tcBorders>
            <w:shd w:val="clear" w:color="auto" w:fill="auto"/>
            <w:noWrap/>
            <w:vAlign w:val="bottom"/>
            <w:hideMark/>
          </w:tcPr>
          <w:p w:rsidR="000D228C" w:rsidRDefault="000D228C" w:rsidP="00E239FE">
            <w:pPr>
              <w:spacing w:after="0" w:line="240" w:lineRule="auto"/>
              <w:rPr>
                <w:rFonts w:ascii="Verdana" w:hAnsi="Verdana"/>
                <w:i/>
                <w:iCs/>
                <w:color w:val="000000"/>
                <w:sz w:val="18"/>
                <w:szCs w:val="18"/>
              </w:rPr>
            </w:pPr>
            <w:r w:rsidRPr="00401005">
              <w:rPr>
                <w:rFonts w:ascii="Verdana" w:hAnsi="Verdana"/>
                <w:i/>
                <w:iCs/>
                <w:color w:val="000000"/>
                <w:sz w:val="18"/>
                <w:szCs w:val="18"/>
              </w:rPr>
              <w:t xml:space="preserve">Fonte: </w:t>
            </w:r>
            <w:r w:rsidR="004934DA">
              <w:rPr>
                <w:rFonts w:ascii="Verdana" w:hAnsi="Verdana"/>
                <w:i/>
                <w:iCs/>
                <w:color w:val="000000"/>
                <w:sz w:val="18"/>
                <w:szCs w:val="18"/>
              </w:rPr>
              <w:t>e</w:t>
            </w:r>
            <w:r w:rsidRPr="00401005">
              <w:rPr>
                <w:rFonts w:ascii="Verdana" w:hAnsi="Verdana"/>
                <w:i/>
                <w:iCs/>
                <w:color w:val="000000"/>
                <w:sz w:val="18"/>
                <w:szCs w:val="18"/>
              </w:rPr>
              <w:t>laborazioni Isfort-Ufficio Studi Confcommercio su dati Eurostat</w:t>
            </w:r>
          </w:p>
          <w:p w:rsidR="004934DA" w:rsidRDefault="004934DA" w:rsidP="00E239FE">
            <w:pPr>
              <w:spacing w:after="0" w:line="240" w:lineRule="auto"/>
              <w:rPr>
                <w:rFonts w:ascii="Verdana" w:hAnsi="Verdana"/>
                <w:i/>
                <w:iCs/>
                <w:color w:val="000000"/>
                <w:sz w:val="18"/>
                <w:szCs w:val="18"/>
              </w:rPr>
            </w:pPr>
          </w:p>
          <w:p w:rsidR="004934DA" w:rsidRDefault="004934DA" w:rsidP="00E239FE">
            <w:pPr>
              <w:spacing w:after="0" w:line="240" w:lineRule="auto"/>
              <w:rPr>
                <w:rFonts w:ascii="Verdana" w:hAnsi="Verdana"/>
                <w:i/>
                <w:iCs/>
                <w:color w:val="000000"/>
                <w:sz w:val="18"/>
                <w:szCs w:val="18"/>
              </w:rPr>
            </w:pPr>
          </w:p>
          <w:p w:rsidR="004934DA" w:rsidRPr="00401005" w:rsidRDefault="00565C1F" w:rsidP="00E239FE">
            <w:pPr>
              <w:spacing w:after="0" w:line="240" w:lineRule="auto"/>
              <w:rPr>
                <w:rFonts w:ascii="Verdana" w:hAnsi="Verdana"/>
                <w:i/>
                <w:iCs/>
                <w:color w:val="000000"/>
                <w:sz w:val="18"/>
                <w:szCs w:val="18"/>
              </w:rPr>
            </w:pPr>
            <w:r>
              <w:rPr>
                <w:rFonts w:ascii="Verdana" w:hAnsi="Verdana"/>
                <w:b/>
                <w:bCs/>
                <w:color w:val="000000"/>
                <w:sz w:val="20"/>
                <w:szCs w:val="20"/>
              </w:rPr>
              <w:t xml:space="preserve">Tab. 4 - </w:t>
            </w:r>
            <w:r w:rsidR="004934DA" w:rsidRPr="004934DA">
              <w:rPr>
                <w:rFonts w:ascii="Verdana" w:hAnsi="Verdana"/>
                <w:b/>
                <w:bCs/>
                <w:color w:val="000000"/>
                <w:sz w:val="20"/>
                <w:szCs w:val="20"/>
              </w:rPr>
              <w:t>Lunghezza rete autostradale in Km</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i/>
                <w:color w:val="000000"/>
                <w:sz w:val="20"/>
                <w:szCs w:val="20"/>
              </w:rPr>
            </w:pPr>
            <w:r w:rsidRPr="00401005">
              <w:rPr>
                <w:rFonts w:ascii="Verdana" w:hAnsi="Verdana"/>
                <w:i/>
                <w:color w:val="000000"/>
                <w:sz w:val="20"/>
                <w:szCs w:val="20"/>
              </w:rPr>
              <w:t>Anno</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i/>
                <w:color w:val="000000"/>
                <w:sz w:val="20"/>
                <w:szCs w:val="20"/>
              </w:rPr>
            </w:pPr>
            <w:r w:rsidRPr="00401005">
              <w:rPr>
                <w:rFonts w:ascii="Verdana" w:hAnsi="Verdana"/>
                <w:i/>
                <w:color w:val="000000"/>
                <w:sz w:val="20"/>
                <w:szCs w:val="20"/>
              </w:rPr>
              <w:t>1990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i/>
                <w:color w:val="000000"/>
                <w:sz w:val="20"/>
                <w:szCs w:val="20"/>
              </w:rPr>
            </w:pPr>
            <w:r w:rsidRPr="00401005">
              <w:rPr>
                <w:rFonts w:ascii="Verdana" w:hAnsi="Verdana"/>
                <w:i/>
                <w:color w:val="000000"/>
                <w:sz w:val="20"/>
                <w:szCs w:val="20"/>
              </w:rPr>
              <w:t>2000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i/>
                <w:color w:val="000000"/>
                <w:sz w:val="20"/>
                <w:szCs w:val="20"/>
              </w:rPr>
            </w:pPr>
            <w:r w:rsidRPr="00401005">
              <w:rPr>
                <w:rFonts w:ascii="Verdana" w:hAnsi="Verdana"/>
                <w:i/>
                <w:color w:val="000000"/>
                <w:sz w:val="20"/>
                <w:szCs w:val="20"/>
              </w:rPr>
              <w:t>2011</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ITALIA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6.193</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6.478</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6.668</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Germania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10.854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11.712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12.845</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Francia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6.824</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9.766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11.412</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Regno Unito</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3.181</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3.600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3.686</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Spagna</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4.976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9.049</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14.554</w:t>
            </w:r>
          </w:p>
        </w:tc>
      </w:tr>
      <w:tr w:rsidR="004934DA" w:rsidRPr="00401005" w:rsidTr="004934DA">
        <w:trPr>
          <w:gridAfter w:val="2"/>
          <w:wAfter w:w="4533" w:type="dxa"/>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rPr>
                <w:rFonts w:ascii="Verdana" w:hAnsi="Verdana"/>
                <w:color w:val="000000"/>
                <w:sz w:val="20"/>
                <w:szCs w:val="20"/>
              </w:rPr>
            </w:pPr>
            <w:r w:rsidRPr="00401005">
              <w:rPr>
                <w:rFonts w:ascii="Verdana" w:hAnsi="Verdana"/>
                <w:color w:val="000000"/>
                <w:sz w:val="20"/>
                <w:szCs w:val="20"/>
              </w:rPr>
              <w:t>UE15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39.616</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51.490</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DA" w:rsidRPr="00401005" w:rsidRDefault="004934DA" w:rsidP="00E239FE">
            <w:pPr>
              <w:spacing w:after="0" w:line="240" w:lineRule="auto"/>
              <w:jc w:val="center"/>
              <w:rPr>
                <w:rFonts w:ascii="Verdana" w:hAnsi="Verdana"/>
                <w:color w:val="000000"/>
                <w:sz w:val="20"/>
                <w:szCs w:val="20"/>
              </w:rPr>
            </w:pPr>
            <w:r w:rsidRPr="00401005">
              <w:rPr>
                <w:rFonts w:ascii="Verdana" w:hAnsi="Verdana"/>
                <w:color w:val="000000"/>
                <w:sz w:val="20"/>
                <w:szCs w:val="20"/>
              </w:rPr>
              <w:t>64.144</w:t>
            </w:r>
          </w:p>
        </w:tc>
      </w:tr>
    </w:tbl>
    <w:p w:rsidR="004934DA" w:rsidRPr="00401005" w:rsidRDefault="004934DA" w:rsidP="00E239FE">
      <w:pPr>
        <w:spacing w:after="0" w:line="240" w:lineRule="auto"/>
        <w:rPr>
          <w:rFonts w:ascii="Verdana" w:hAnsi="Verdana"/>
          <w:i/>
          <w:iCs/>
          <w:color w:val="000000"/>
          <w:sz w:val="18"/>
          <w:szCs w:val="18"/>
        </w:rPr>
      </w:pPr>
      <w:r w:rsidRPr="00401005">
        <w:rPr>
          <w:rFonts w:ascii="Verdana" w:hAnsi="Verdana"/>
          <w:i/>
          <w:iCs/>
          <w:color w:val="000000"/>
          <w:sz w:val="18"/>
          <w:szCs w:val="18"/>
        </w:rPr>
        <w:t xml:space="preserve">Fonte: </w:t>
      </w:r>
      <w:r>
        <w:rPr>
          <w:rFonts w:ascii="Verdana" w:hAnsi="Verdana"/>
          <w:i/>
          <w:iCs/>
          <w:color w:val="000000"/>
          <w:sz w:val="18"/>
          <w:szCs w:val="18"/>
        </w:rPr>
        <w:t>e</w:t>
      </w:r>
      <w:r w:rsidRPr="00401005">
        <w:rPr>
          <w:rFonts w:ascii="Verdana" w:hAnsi="Verdana"/>
          <w:i/>
          <w:iCs/>
          <w:color w:val="000000"/>
          <w:sz w:val="18"/>
          <w:szCs w:val="18"/>
        </w:rPr>
        <w:t>laborazioni Isfort-Ufficio Studi Confcommercio su dati Eurostat</w:t>
      </w:r>
    </w:p>
    <w:p w:rsidR="000D228C" w:rsidRPr="00401005" w:rsidRDefault="000D228C" w:rsidP="000D228C">
      <w:pPr>
        <w:rPr>
          <w:rFonts w:ascii="Verdana" w:hAnsi="Verdana"/>
          <w:sz w:val="20"/>
          <w:szCs w:val="20"/>
        </w:rPr>
      </w:pPr>
    </w:p>
    <w:sectPr w:rsidR="000D228C" w:rsidRPr="00401005" w:rsidSect="00401005">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9C" w:rsidRDefault="006A1F9C" w:rsidP="00F4753A">
      <w:pPr>
        <w:spacing w:after="0" w:line="240" w:lineRule="auto"/>
      </w:pPr>
      <w:r>
        <w:separator/>
      </w:r>
    </w:p>
  </w:endnote>
  <w:endnote w:type="continuationSeparator" w:id="0">
    <w:p w:rsidR="006A1F9C" w:rsidRDefault="006A1F9C" w:rsidP="00F4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9C" w:rsidRDefault="006A1F9C" w:rsidP="00F4753A">
      <w:pPr>
        <w:spacing w:after="0" w:line="240" w:lineRule="auto"/>
      </w:pPr>
      <w:r>
        <w:separator/>
      </w:r>
    </w:p>
  </w:footnote>
  <w:footnote w:type="continuationSeparator" w:id="0">
    <w:p w:rsidR="006A1F9C" w:rsidRDefault="006A1F9C" w:rsidP="00F47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53A" w:rsidRDefault="007B28EC" w:rsidP="00C85998">
    <w:pPr>
      <w:pStyle w:val="Intestazione"/>
    </w:pPr>
    <w:r>
      <w:rPr>
        <w:noProof/>
      </w:rPr>
      <w:drawing>
        <wp:inline distT="0" distB="0" distL="0" distR="0" wp14:anchorId="760FF564" wp14:editId="5D45E507">
          <wp:extent cx="1173480" cy="1235242"/>
          <wp:effectExtent l="0" t="0" r="7620" b="3175"/>
          <wp:docPr id="5" name="Immagine 5" descr="logo_conftrasporto1_2010_tracci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nftrasporto1_2010_traccia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235242"/>
                  </a:xfrm>
                  <a:prstGeom prst="rect">
                    <a:avLst/>
                  </a:prstGeom>
                  <a:noFill/>
                  <a:ln>
                    <a:noFill/>
                  </a:ln>
                </pic:spPr>
              </pic:pic>
            </a:graphicData>
          </a:graphic>
        </wp:inline>
      </w:drawing>
    </w:r>
    <w:r w:rsidR="00C85998">
      <w:tab/>
    </w:r>
    <w:r w:rsidR="00C85998">
      <w:tab/>
    </w:r>
    <w:r w:rsidR="00C85998">
      <w:rPr>
        <w:noProof/>
      </w:rPr>
      <w:drawing>
        <wp:inline distT="0" distB="0" distL="0" distR="0" wp14:anchorId="5D70265E" wp14:editId="327CC269">
          <wp:extent cx="1524000" cy="1390650"/>
          <wp:effectExtent l="0" t="0" r="0" b="0"/>
          <wp:docPr id="6" name="Immagine 6" descr="logo vincitore -70e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vincitore -70esimo"/>
                  <pic:cNvPicPr>
                    <a:picLocks noChangeAspect="1" noChangeArrowheads="1"/>
                  </pic:cNvPicPr>
                </pic:nvPicPr>
                <pic:blipFill>
                  <a:blip r:embed="rId2">
                    <a:extLst>
                      <a:ext uri="{28A0092B-C50C-407E-A947-70E740481C1C}">
                        <a14:useLocalDpi xmlns:a14="http://schemas.microsoft.com/office/drawing/2010/main" val="0"/>
                      </a:ext>
                    </a:extLst>
                  </a:blip>
                  <a:srcRect b="11617"/>
                  <a:stretch>
                    <a:fillRect/>
                  </a:stretch>
                </pic:blipFill>
                <pic:spPr bwMode="auto">
                  <a:xfrm>
                    <a:off x="0" y="0"/>
                    <a:ext cx="1524000" cy="1390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91"/>
    <w:rsid w:val="00024F91"/>
    <w:rsid w:val="00030567"/>
    <w:rsid w:val="0004767F"/>
    <w:rsid w:val="000622DE"/>
    <w:rsid w:val="00094AA2"/>
    <w:rsid w:val="000D228C"/>
    <w:rsid w:val="000F0C08"/>
    <w:rsid w:val="00113580"/>
    <w:rsid w:val="001453FD"/>
    <w:rsid w:val="001D2327"/>
    <w:rsid w:val="00245513"/>
    <w:rsid w:val="00284F97"/>
    <w:rsid w:val="00285486"/>
    <w:rsid w:val="002D5D0C"/>
    <w:rsid w:val="003243DB"/>
    <w:rsid w:val="00370E45"/>
    <w:rsid w:val="00375498"/>
    <w:rsid w:val="003849C9"/>
    <w:rsid w:val="003B534B"/>
    <w:rsid w:val="003D74A1"/>
    <w:rsid w:val="00401005"/>
    <w:rsid w:val="004446CF"/>
    <w:rsid w:val="004934DA"/>
    <w:rsid w:val="00523288"/>
    <w:rsid w:val="00565C1F"/>
    <w:rsid w:val="005B522F"/>
    <w:rsid w:val="006A1F9C"/>
    <w:rsid w:val="007359E6"/>
    <w:rsid w:val="00740397"/>
    <w:rsid w:val="00770BCA"/>
    <w:rsid w:val="00770D26"/>
    <w:rsid w:val="00781CC3"/>
    <w:rsid w:val="00796932"/>
    <w:rsid w:val="007B28EC"/>
    <w:rsid w:val="007F0CFB"/>
    <w:rsid w:val="0080042C"/>
    <w:rsid w:val="00821354"/>
    <w:rsid w:val="0089676D"/>
    <w:rsid w:val="008A6752"/>
    <w:rsid w:val="008E7DFE"/>
    <w:rsid w:val="00971A81"/>
    <w:rsid w:val="009B362C"/>
    <w:rsid w:val="009D0CFE"/>
    <w:rsid w:val="00AB03EE"/>
    <w:rsid w:val="00AC0844"/>
    <w:rsid w:val="00B934FF"/>
    <w:rsid w:val="00C84F4E"/>
    <w:rsid w:val="00C85998"/>
    <w:rsid w:val="00CD39EA"/>
    <w:rsid w:val="00D2074E"/>
    <w:rsid w:val="00D80DCB"/>
    <w:rsid w:val="00DF3B5E"/>
    <w:rsid w:val="00E27D3D"/>
    <w:rsid w:val="00E8698F"/>
    <w:rsid w:val="00ED47E0"/>
    <w:rsid w:val="00EF5CA3"/>
    <w:rsid w:val="00F038AA"/>
    <w:rsid w:val="00F4753A"/>
    <w:rsid w:val="00F600C7"/>
    <w:rsid w:val="00F67B27"/>
    <w:rsid w:val="00F81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unhideWhenUsed/>
    <w:rsid w:val="00024F91"/>
    <w:pPr>
      <w:spacing w:after="0" w:line="240" w:lineRule="auto"/>
      <w:ind w:left="360" w:right="638"/>
    </w:pPr>
    <w:rPr>
      <w:rFonts w:ascii="Times New Roman" w:eastAsia="Times New Roman" w:hAnsi="Times New Roman" w:cs="Times New Roman"/>
      <w:sz w:val="24"/>
      <w:szCs w:val="24"/>
    </w:rPr>
  </w:style>
  <w:style w:type="paragraph" w:styleId="Rientrocorpodeltesto">
    <w:name w:val="Body Text Indent"/>
    <w:basedOn w:val="Normale"/>
    <w:link w:val="RientrocorpodeltestoCarattere"/>
    <w:rsid w:val="00024F91"/>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RientrocorpodeltestoCarattere">
    <w:name w:val="Rientro corpo del testo Carattere"/>
    <w:basedOn w:val="Carpredefinitoparagrafo"/>
    <w:link w:val="Rientrocorpodeltesto"/>
    <w:rsid w:val="00024F91"/>
    <w:rPr>
      <w:rFonts w:ascii="Arial Unicode MS" w:eastAsia="Arial Unicode MS" w:hAnsi="Arial Unicode MS" w:cs="Arial Unicode MS"/>
      <w:color w:val="000000"/>
      <w:sz w:val="24"/>
      <w:szCs w:val="24"/>
      <w:lang w:eastAsia="it-IT"/>
    </w:rPr>
  </w:style>
  <w:style w:type="character" w:styleId="Collegamentoipertestuale">
    <w:name w:val="Hyperlink"/>
    <w:basedOn w:val="Carpredefinitoparagrafo"/>
    <w:uiPriority w:val="99"/>
    <w:unhideWhenUsed/>
    <w:rsid w:val="00024F91"/>
    <w:rPr>
      <w:color w:val="0000FF" w:themeColor="hyperlink"/>
      <w:u w:val="single"/>
    </w:rPr>
  </w:style>
  <w:style w:type="paragraph" w:styleId="Testofumetto">
    <w:name w:val="Balloon Text"/>
    <w:basedOn w:val="Normale"/>
    <w:link w:val="TestofumettoCarattere"/>
    <w:uiPriority w:val="99"/>
    <w:semiHidden/>
    <w:unhideWhenUsed/>
    <w:rsid w:val="00F475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53A"/>
    <w:rPr>
      <w:rFonts w:ascii="Tahoma" w:hAnsi="Tahoma" w:cs="Tahoma"/>
      <w:sz w:val="16"/>
      <w:szCs w:val="16"/>
    </w:rPr>
  </w:style>
  <w:style w:type="paragraph" w:styleId="Intestazione">
    <w:name w:val="header"/>
    <w:basedOn w:val="Normale"/>
    <w:link w:val="IntestazioneCarattere"/>
    <w:uiPriority w:val="99"/>
    <w:unhideWhenUsed/>
    <w:rsid w:val="00F475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53A"/>
  </w:style>
  <w:style w:type="paragraph" w:styleId="Pidipagina">
    <w:name w:val="footer"/>
    <w:basedOn w:val="Normale"/>
    <w:link w:val="PidipaginaCarattere"/>
    <w:uiPriority w:val="99"/>
    <w:unhideWhenUsed/>
    <w:rsid w:val="00F475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53A"/>
  </w:style>
  <w:style w:type="paragraph" w:customStyle="1" w:styleId="Default">
    <w:name w:val="Default"/>
    <w:rsid w:val="00094AA2"/>
    <w:pPr>
      <w:autoSpaceDE w:val="0"/>
      <w:autoSpaceDN w:val="0"/>
      <w:adjustRightInd w:val="0"/>
      <w:spacing w:after="0" w:line="240" w:lineRule="auto"/>
    </w:pPr>
    <w:rPr>
      <w:rFonts w:ascii="Verdana" w:hAnsi="Verdana" w:cs="Verdana"/>
      <w:color w:val="000000"/>
      <w:sz w:val="24"/>
      <w:szCs w:val="24"/>
    </w:rPr>
  </w:style>
  <w:style w:type="paragraph" w:styleId="Corpodeltesto3">
    <w:name w:val="Body Text 3"/>
    <w:basedOn w:val="Normale"/>
    <w:link w:val="Corpodeltesto3Carattere"/>
    <w:uiPriority w:val="99"/>
    <w:semiHidden/>
    <w:unhideWhenUsed/>
    <w:rsid w:val="0089676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9676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unhideWhenUsed/>
    <w:rsid w:val="00024F91"/>
    <w:pPr>
      <w:spacing w:after="0" w:line="240" w:lineRule="auto"/>
      <w:ind w:left="360" w:right="638"/>
    </w:pPr>
    <w:rPr>
      <w:rFonts w:ascii="Times New Roman" w:eastAsia="Times New Roman" w:hAnsi="Times New Roman" w:cs="Times New Roman"/>
      <w:sz w:val="24"/>
      <w:szCs w:val="24"/>
    </w:rPr>
  </w:style>
  <w:style w:type="paragraph" w:styleId="Rientrocorpodeltesto">
    <w:name w:val="Body Text Indent"/>
    <w:basedOn w:val="Normale"/>
    <w:link w:val="RientrocorpodeltestoCarattere"/>
    <w:rsid w:val="00024F91"/>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RientrocorpodeltestoCarattere">
    <w:name w:val="Rientro corpo del testo Carattere"/>
    <w:basedOn w:val="Carpredefinitoparagrafo"/>
    <w:link w:val="Rientrocorpodeltesto"/>
    <w:rsid w:val="00024F91"/>
    <w:rPr>
      <w:rFonts w:ascii="Arial Unicode MS" w:eastAsia="Arial Unicode MS" w:hAnsi="Arial Unicode MS" w:cs="Arial Unicode MS"/>
      <w:color w:val="000000"/>
      <w:sz w:val="24"/>
      <w:szCs w:val="24"/>
      <w:lang w:eastAsia="it-IT"/>
    </w:rPr>
  </w:style>
  <w:style w:type="character" w:styleId="Collegamentoipertestuale">
    <w:name w:val="Hyperlink"/>
    <w:basedOn w:val="Carpredefinitoparagrafo"/>
    <w:uiPriority w:val="99"/>
    <w:unhideWhenUsed/>
    <w:rsid w:val="00024F91"/>
    <w:rPr>
      <w:color w:val="0000FF" w:themeColor="hyperlink"/>
      <w:u w:val="single"/>
    </w:rPr>
  </w:style>
  <w:style w:type="paragraph" w:styleId="Testofumetto">
    <w:name w:val="Balloon Text"/>
    <w:basedOn w:val="Normale"/>
    <w:link w:val="TestofumettoCarattere"/>
    <w:uiPriority w:val="99"/>
    <w:semiHidden/>
    <w:unhideWhenUsed/>
    <w:rsid w:val="00F475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53A"/>
    <w:rPr>
      <w:rFonts w:ascii="Tahoma" w:hAnsi="Tahoma" w:cs="Tahoma"/>
      <w:sz w:val="16"/>
      <w:szCs w:val="16"/>
    </w:rPr>
  </w:style>
  <w:style w:type="paragraph" w:styleId="Intestazione">
    <w:name w:val="header"/>
    <w:basedOn w:val="Normale"/>
    <w:link w:val="IntestazioneCarattere"/>
    <w:uiPriority w:val="99"/>
    <w:unhideWhenUsed/>
    <w:rsid w:val="00F475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53A"/>
  </w:style>
  <w:style w:type="paragraph" w:styleId="Pidipagina">
    <w:name w:val="footer"/>
    <w:basedOn w:val="Normale"/>
    <w:link w:val="PidipaginaCarattere"/>
    <w:uiPriority w:val="99"/>
    <w:unhideWhenUsed/>
    <w:rsid w:val="00F475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53A"/>
  </w:style>
  <w:style w:type="paragraph" w:customStyle="1" w:styleId="Default">
    <w:name w:val="Default"/>
    <w:rsid w:val="00094AA2"/>
    <w:pPr>
      <w:autoSpaceDE w:val="0"/>
      <w:autoSpaceDN w:val="0"/>
      <w:adjustRightInd w:val="0"/>
      <w:spacing w:after="0" w:line="240" w:lineRule="auto"/>
    </w:pPr>
    <w:rPr>
      <w:rFonts w:ascii="Verdana" w:hAnsi="Verdana" w:cs="Verdana"/>
      <w:color w:val="000000"/>
      <w:sz w:val="24"/>
      <w:szCs w:val="24"/>
    </w:rPr>
  </w:style>
  <w:style w:type="paragraph" w:styleId="Corpodeltesto3">
    <w:name w:val="Body Text 3"/>
    <w:basedOn w:val="Normale"/>
    <w:link w:val="Corpodeltesto3Carattere"/>
    <w:uiPriority w:val="99"/>
    <w:semiHidden/>
    <w:unhideWhenUsed/>
    <w:rsid w:val="0089676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8967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5AA3-7CB2-493E-809D-872F1F72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1038</Words>
  <Characters>5922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Castellucci</dc:creator>
  <cp:lastModifiedBy>Ragaini</cp:lastModifiedBy>
  <cp:revision>5</cp:revision>
  <cp:lastPrinted>2015-10-09T12:29:00Z</cp:lastPrinted>
  <dcterms:created xsi:type="dcterms:W3CDTF">2015-10-09T10:18:00Z</dcterms:created>
  <dcterms:modified xsi:type="dcterms:W3CDTF">2015-10-09T12:33:00Z</dcterms:modified>
</cp:coreProperties>
</file>